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4B44B" w14:textId="0FA5B0D5" w:rsidR="004516E8" w:rsidRDefault="00FF659A" w:rsidP="003F7586">
      <w:pPr>
        <w:spacing w:line="360" w:lineRule="auto"/>
        <w:jc w:val="center"/>
        <w:rPr>
          <w:b/>
        </w:rPr>
      </w:pPr>
      <w:r>
        <w:rPr>
          <w:b/>
        </w:rPr>
        <w:t xml:space="preserve">Compte rendu </w:t>
      </w:r>
      <w:r w:rsidR="003F7586">
        <w:rPr>
          <w:b/>
        </w:rPr>
        <w:t>de la Table Ronde</w:t>
      </w:r>
      <w:r>
        <w:rPr>
          <w:b/>
        </w:rPr>
        <w:t xml:space="preserve"> Recherche</w:t>
      </w:r>
      <w:r w:rsidR="003F7586">
        <w:rPr>
          <w:b/>
        </w:rPr>
        <w:t xml:space="preserve"> sur l’</w:t>
      </w:r>
      <w:r>
        <w:rPr>
          <w:b/>
        </w:rPr>
        <w:t xml:space="preserve"> HDR, 2 juin 2017, 11h30-12h30</w:t>
      </w:r>
    </w:p>
    <w:p w14:paraId="3F778671" w14:textId="77777777" w:rsidR="003F7586" w:rsidRDefault="003F7586" w:rsidP="000E33AB">
      <w:pPr>
        <w:spacing w:line="360" w:lineRule="auto"/>
        <w:jc w:val="both"/>
      </w:pPr>
    </w:p>
    <w:p w14:paraId="6295583E" w14:textId="6208B1F4" w:rsidR="00827404" w:rsidRDefault="00FF659A" w:rsidP="000E33AB">
      <w:pPr>
        <w:spacing w:line="360" w:lineRule="auto"/>
        <w:jc w:val="both"/>
      </w:pPr>
      <w:r w:rsidRPr="00FF659A">
        <w:t>Introduction Martine Yvernault, V</w:t>
      </w:r>
      <w:r w:rsidR="003F7586">
        <w:t>ice-</w:t>
      </w:r>
      <w:r w:rsidRPr="00FF659A">
        <w:t>P</w:t>
      </w:r>
      <w:r w:rsidR="003F7586">
        <w:t>résidente</w:t>
      </w:r>
      <w:r w:rsidRPr="00FF659A">
        <w:t xml:space="preserve"> Recherche</w:t>
      </w:r>
      <w:r w:rsidR="00B30186">
        <w:t>.</w:t>
      </w:r>
    </w:p>
    <w:p w14:paraId="166728CE" w14:textId="77777777" w:rsidR="00A20462" w:rsidRPr="00FF659A" w:rsidRDefault="00A20462" w:rsidP="000E33AB">
      <w:pPr>
        <w:spacing w:line="360" w:lineRule="auto"/>
        <w:jc w:val="both"/>
      </w:pPr>
    </w:p>
    <w:p w14:paraId="0E9517FE" w14:textId="77777777" w:rsidR="00827404" w:rsidRDefault="00827404" w:rsidP="000E33AB">
      <w:pPr>
        <w:spacing w:line="360" w:lineRule="auto"/>
        <w:jc w:val="both"/>
      </w:pPr>
      <w:r>
        <w:t xml:space="preserve">Cette Table Ronde a pour point de départ le travail de réflexion de la Commission Recherche de la SAES que </w:t>
      </w:r>
      <w:r w:rsidR="00FA7330">
        <w:t xml:space="preserve">nous tenons </w:t>
      </w:r>
      <w:r>
        <w:t>à remercier ici pour son implic</w:t>
      </w:r>
      <w:r w:rsidR="006722DC">
        <w:t xml:space="preserve">ation. La Commission Recherche </w:t>
      </w:r>
      <w:r>
        <w:t>s’est réunie le 6 février</w:t>
      </w:r>
      <w:r w:rsidR="00FF659A">
        <w:t xml:space="preserve"> 2017</w:t>
      </w:r>
      <w:r>
        <w:t xml:space="preserve"> afin de travailler sur les préconisations qui figurent déjà sur le site de la SAES, de maintenir les recommandations qui sont toujours d’actualité et explicitement formulées, et de proposer une actualisation de certaines préconisations. </w:t>
      </w:r>
    </w:p>
    <w:p w14:paraId="08C624BF" w14:textId="77777777" w:rsidR="00545ADD" w:rsidRDefault="00545ADD" w:rsidP="000E33AB">
      <w:pPr>
        <w:widowControl w:val="0"/>
        <w:autoSpaceDE w:val="0"/>
        <w:autoSpaceDN w:val="0"/>
        <w:adjustRightInd w:val="0"/>
        <w:spacing w:line="360" w:lineRule="auto"/>
        <w:jc w:val="both"/>
        <w:rPr>
          <w:rFonts w:cs="Times New Roman"/>
          <w:color w:val="343434"/>
        </w:rPr>
      </w:pPr>
      <w:r>
        <w:t xml:space="preserve">Pour mémoire, les textes donnant les préconisations </w:t>
      </w:r>
      <w:r w:rsidR="00044E81">
        <w:t xml:space="preserve">(recommandations conjointes SAES/AFEA) </w:t>
      </w:r>
      <w:r>
        <w:t>de la SAES pour l’HDR de 2006 et surtout de 2008</w:t>
      </w:r>
      <w:r w:rsidR="005763F4">
        <w:t xml:space="preserve"> </w:t>
      </w:r>
      <w:r w:rsidR="00FF659A">
        <w:rPr>
          <w:rFonts w:ascii="Cambria" w:hAnsi="Cambria"/>
        </w:rPr>
        <w:t>–</w:t>
      </w:r>
      <w:r w:rsidR="005763F4">
        <w:rPr>
          <w:rFonts w:ascii="Cambria" w:hAnsi="Cambria"/>
        </w:rPr>
        <w:t xml:space="preserve"> </w:t>
      </w:r>
      <w:r w:rsidR="00044E81">
        <w:t>qui reste un bon texte de référence</w:t>
      </w:r>
      <w:r w:rsidR="005763F4" w:rsidRPr="009A01FD">
        <w:t>, selon les membres de la commission</w:t>
      </w:r>
      <w:r w:rsidR="005763F4">
        <w:t xml:space="preserve"> </w:t>
      </w:r>
      <w:r w:rsidR="00FF659A">
        <w:rPr>
          <w:rFonts w:ascii="Cambria" w:hAnsi="Cambria"/>
        </w:rPr>
        <w:t>–</w:t>
      </w:r>
      <w:r w:rsidR="005763F4">
        <w:rPr>
          <w:rFonts w:ascii="Cambria" w:hAnsi="Cambria"/>
        </w:rPr>
        <w:t xml:space="preserve"> </w:t>
      </w:r>
      <w:r>
        <w:t xml:space="preserve">sont disponibles sur le site de la SAES, </w:t>
      </w:r>
      <w:r>
        <w:rPr>
          <w:rFonts w:cs="Times New Roman"/>
          <w:color w:val="343434"/>
        </w:rPr>
        <w:t>rubrique « Carrière /HDR ».</w:t>
      </w:r>
    </w:p>
    <w:p w14:paraId="347C7314" w14:textId="77777777" w:rsidR="00545ADD" w:rsidRPr="008C0D7C" w:rsidRDefault="00A170A8" w:rsidP="000E33AB">
      <w:pPr>
        <w:widowControl w:val="0"/>
        <w:autoSpaceDE w:val="0"/>
        <w:autoSpaceDN w:val="0"/>
        <w:adjustRightInd w:val="0"/>
        <w:spacing w:line="360" w:lineRule="auto"/>
        <w:jc w:val="both"/>
        <w:rPr>
          <w:rFonts w:cs="Arial"/>
        </w:rPr>
      </w:pPr>
      <w:r w:rsidRPr="00A170A8">
        <w:rPr>
          <w:rFonts w:cs="Times New Roman"/>
          <w:b/>
          <w:color w:val="343434"/>
        </w:rPr>
        <w:sym w:font="Wingdings" w:char="F0E0"/>
      </w:r>
      <w:r w:rsidR="00545ADD">
        <w:rPr>
          <w:rFonts w:cs="Times New Roman"/>
          <w:b/>
          <w:color w:val="343434"/>
        </w:rPr>
        <w:t>La référence officielle est l’</w:t>
      </w:r>
      <w:r w:rsidR="00545ADD" w:rsidRPr="008C0D7C">
        <w:rPr>
          <w:rFonts w:cs="Arial"/>
          <w:b/>
          <w:bCs/>
          <w:color w:val="262626"/>
        </w:rPr>
        <w:t xml:space="preserve">Arrêté du 23 novembre 1988 relatif à l'habilitation à diriger des recherches </w:t>
      </w:r>
    </w:p>
    <w:p w14:paraId="255788E1" w14:textId="77777777" w:rsidR="00545ADD" w:rsidRPr="008C0D7C" w:rsidRDefault="00545ADD" w:rsidP="000E33AB">
      <w:pPr>
        <w:widowControl w:val="0"/>
        <w:autoSpaceDE w:val="0"/>
        <w:autoSpaceDN w:val="0"/>
        <w:adjustRightInd w:val="0"/>
        <w:spacing w:line="360" w:lineRule="auto"/>
        <w:jc w:val="both"/>
        <w:rPr>
          <w:rFonts w:cs="Times New Roman"/>
          <w:color w:val="343434"/>
        </w:rPr>
      </w:pPr>
      <w:r w:rsidRPr="008C0D7C">
        <w:rPr>
          <w:rFonts w:cs="Arial"/>
          <w:color w:val="262626"/>
        </w:rPr>
        <w:t>Version consolidée au 02 janvier 2017</w:t>
      </w:r>
    </w:p>
    <w:p w14:paraId="2A2AE593" w14:textId="77777777" w:rsidR="00545ADD" w:rsidRDefault="00D615BD" w:rsidP="000E33AB">
      <w:pPr>
        <w:widowControl w:val="0"/>
        <w:autoSpaceDE w:val="0"/>
        <w:autoSpaceDN w:val="0"/>
        <w:adjustRightInd w:val="0"/>
        <w:spacing w:line="360" w:lineRule="auto"/>
        <w:jc w:val="both"/>
        <w:rPr>
          <w:rFonts w:cs="Times New Roman"/>
          <w:b/>
          <w:color w:val="343434"/>
        </w:rPr>
      </w:pPr>
      <w:hyperlink r:id="rId7" w:history="1">
        <w:r w:rsidR="00545ADD" w:rsidRPr="009A74A7">
          <w:rPr>
            <w:rStyle w:val="Lienhypertexte"/>
            <w:rFonts w:cs="Times New Roman"/>
            <w:b/>
          </w:rPr>
          <w:t>https://www.legifrance.gouv.fr/affichTexte.do?cidTexte=LEGITEXT000028933129&amp;dateTexte=20170102</w:t>
        </w:r>
      </w:hyperlink>
    </w:p>
    <w:p w14:paraId="4AB5F6F8" w14:textId="17108A36" w:rsidR="00545ADD" w:rsidRDefault="00FF659A" w:rsidP="000E33AB">
      <w:pPr>
        <w:widowControl w:val="0"/>
        <w:autoSpaceDE w:val="0"/>
        <w:autoSpaceDN w:val="0"/>
        <w:adjustRightInd w:val="0"/>
        <w:spacing w:line="360" w:lineRule="auto"/>
        <w:jc w:val="both"/>
        <w:rPr>
          <w:rFonts w:cs="Times New Roman"/>
          <w:b/>
          <w:color w:val="343434"/>
        </w:rPr>
      </w:pPr>
      <w:r>
        <w:rPr>
          <w:rFonts w:cs="Times New Roman"/>
          <w:color w:val="343434"/>
        </w:rPr>
        <w:t>Nous souhaitons rappeler</w:t>
      </w:r>
      <w:r w:rsidR="0023230E">
        <w:rPr>
          <w:rFonts w:cs="Times New Roman"/>
          <w:color w:val="343434"/>
        </w:rPr>
        <w:t xml:space="preserve"> que</w:t>
      </w:r>
      <w:r w:rsidR="00545ADD">
        <w:rPr>
          <w:rFonts w:cs="Times New Roman"/>
          <w:color w:val="343434"/>
        </w:rPr>
        <w:t xml:space="preserve"> les universités sont souveraines pour l’HDR</w:t>
      </w:r>
      <w:r w:rsidR="005763F4">
        <w:rPr>
          <w:rFonts w:cs="Times New Roman"/>
          <w:color w:val="343434"/>
        </w:rPr>
        <w:t>,</w:t>
      </w:r>
      <w:r w:rsidR="00044E81">
        <w:rPr>
          <w:rFonts w:cs="Times New Roman"/>
          <w:color w:val="343434"/>
        </w:rPr>
        <w:t xml:space="preserve"> qui n’est pas cadrée comme le doc</w:t>
      </w:r>
      <w:r w:rsidR="00A170A8">
        <w:rPr>
          <w:rFonts w:cs="Times New Roman"/>
          <w:color w:val="343434"/>
        </w:rPr>
        <w:t>torat peut</w:t>
      </w:r>
      <w:r w:rsidR="00044E81">
        <w:rPr>
          <w:rFonts w:cs="Times New Roman"/>
          <w:color w:val="343434"/>
        </w:rPr>
        <w:t xml:space="preserve"> l’être </w:t>
      </w:r>
      <w:r w:rsidR="0023230E">
        <w:rPr>
          <w:rFonts w:cs="Times New Roman"/>
          <w:color w:val="343434"/>
        </w:rPr>
        <w:t>(et ce, même si des disparités notables existent entre les universités, et entre les exigences des universités et les pré</w:t>
      </w:r>
      <w:r w:rsidR="00044E81">
        <w:rPr>
          <w:rFonts w:cs="Times New Roman"/>
          <w:color w:val="343434"/>
        </w:rPr>
        <w:t>conisations émises par la SAES)</w:t>
      </w:r>
      <w:r w:rsidR="00545ADD">
        <w:rPr>
          <w:rFonts w:cs="Times New Roman"/>
          <w:color w:val="343434"/>
        </w:rPr>
        <w:t>. Par conséquent, le</w:t>
      </w:r>
      <w:r w:rsidR="005E5E4F">
        <w:rPr>
          <w:rFonts w:cs="Times New Roman"/>
          <w:color w:val="343434"/>
        </w:rPr>
        <w:t>s</w:t>
      </w:r>
      <w:r w:rsidR="00545ADD">
        <w:rPr>
          <w:rFonts w:cs="Times New Roman"/>
          <w:color w:val="343434"/>
        </w:rPr>
        <w:t xml:space="preserve"> candidat</w:t>
      </w:r>
      <w:r w:rsidR="005E5E4F">
        <w:rPr>
          <w:rFonts w:cs="Times New Roman"/>
          <w:color w:val="343434"/>
        </w:rPr>
        <w:t>s</w:t>
      </w:r>
      <w:r w:rsidR="00545ADD">
        <w:rPr>
          <w:rFonts w:cs="Times New Roman"/>
          <w:color w:val="343434"/>
        </w:rPr>
        <w:t xml:space="preserve"> à l’HDR doi</w:t>
      </w:r>
      <w:r w:rsidR="005E5E4F">
        <w:rPr>
          <w:rFonts w:cs="Times New Roman"/>
          <w:color w:val="343434"/>
        </w:rPr>
        <w:t>ven</w:t>
      </w:r>
      <w:r w:rsidR="00545ADD">
        <w:rPr>
          <w:rFonts w:cs="Times New Roman"/>
          <w:color w:val="343434"/>
        </w:rPr>
        <w:t xml:space="preserve">t identifier les points de convergence entre les exigences de </w:t>
      </w:r>
      <w:r w:rsidR="0027041C" w:rsidRPr="009A01FD">
        <w:rPr>
          <w:rFonts w:cs="Times New Roman"/>
          <w:color w:val="343434"/>
        </w:rPr>
        <w:t>leur</w:t>
      </w:r>
      <w:r w:rsidR="00545ADD">
        <w:rPr>
          <w:rFonts w:cs="Times New Roman"/>
          <w:color w:val="343434"/>
        </w:rPr>
        <w:t xml:space="preserve"> université et les préconisations émises par sa Société (</w:t>
      </w:r>
      <w:r w:rsidR="00545ADD" w:rsidRPr="009A3A8C">
        <w:rPr>
          <w:rFonts w:cs="Times New Roman"/>
          <w:b/>
          <w:color w:val="343434"/>
        </w:rPr>
        <w:t>la SAES ne peut que préconiser</w:t>
      </w:r>
      <w:r w:rsidR="005763F4">
        <w:rPr>
          <w:rFonts w:cs="Times New Roman"/>
          <w:b/>
          <w:color w:val="343434"/>
        </w:rPr>
        <w:t> </w:t>
      </w:r>
      <w:r w:rsidR="005763F4" w:rsidRPr="009A01FD">
        <w:rPr>
          <w:rFonts w:cs="Times New Roman"/>
          <w:b/>
          <w:color w:val="343434"/>
        </w:rPr>
        <w:t>; elle</w:t>
      </w:r>
      <w:r w:rsidR="00044E81" w:rsidRPr="009A01FD">
        <w:rPr>
          <w:rFonts w:cs="Times New Roman"/>
          <w:b/>
          <w:color w:val="343434"/>
        </w:rPr>
        <w:t xml:space="preserve"> n’a pas</w:t>
      </w:r>
      <w:r w:rsidR="00044E81">
        <w:rPr>
          <w:rFonts w:cs="Times New Roman"/>
          <w:b/>
          <w:color w:val="343434"/>
        </w:rPr>
        <w:t xml:space="preserve"> vocation à réglementer</w:t>
      </w:r>
      <w:r w:rsidR="00545ADD">
        <w:rPr>
          <w:rFonts w:cs="Times New Roman"/>
          <w:color w:val="343434"/>
        </w:rPr>
        <w:t>).</w:t>
      </w:r>
    </w:p>
    <w:p w14:paraId="41D05545" w14:textId="6414A69C" w:rsidR="00545ADD" w:rsidRDefault="00545ADD" w:rsidP="000E33AB">
      <w:pPr>
        <w:spacing w:line="360" w:lineRule="auto"/>
        <w:jc w:val="both"/>
      </w:pPr>
      <w:r>
        <w:t xml:space="preserve">Les préconisations que nous avons ciblées pour la préparation </w:t>
      </w:r>
      <w:r w:rsidR="006C6EAF">
        <w:t>du diplôme de l’Habilitation à Diriger des r</w:t>
      </w:r>
      <w:r>
        <w:t>echerches sont diverses</w:t>
      </w:r>
      <w:r w:rsidR="00FF659A">
        <w:t>. Parmi ces préconisations</w:t>
      </w:r>
      <w:r w:rsidR="005E5E4F">
        <w:t> :</w:t>
      </w:r>
      <w:r>
        <w:t xml:space="preserve"> </w:t>
      </w:r>
    </w:p>
    <w:p w14:paraId="70641559" w14:textId="77777777" w:rsidR="0023230E" w:rsidRDefault="0023230E" w:rsidP="000E33AB">
      <w:pPr>
        <w:spacing w:line="360" w:lineRule="auto"/>
        <w:jc w:val="both"/>
      </w:pPr>
      <w:r>
        <w:t>-</w:t>
      </w:r>
      <w:r w:rsidR="00554558">
        <w:t xml:space="preserve"> </w:t>
      </w:r>
      <w:r>
        <w:t xml:space="preserve">la </w:t>
      </w:r>
      <w:r w:rsidR="00044E81">
        <w:t>nature scientifique de l’HDR</w:t>
      </w:r>
      <w:r w:rsidR="00554558">
        <w:t>,</w:t>
      </w:r>
      <w:r w:rsidR="00FF659A">
        <w:t xml:space="preserve"> qui</w:t>
      </w:r>
      <w:r>
        <w:t xml:space="preserve"> </w:t>
      </w:r>
      <w:r w:rsidR="00FF659A">
        <w:t>ne saurait être</w:t>
      </w:r>
      <w:r>
        <w:t xml:space="preserve"> la thèse</w:t>
      </w:r>
      <w:r w:rsidR="00FF659A">
        <w:t xml:space="preserve"> dans un format étoffé ;</w:t>
      </w:r>
    </w:p>
    <w:p w14:paraId="4A93FD01" w14:textId="77777777" w:rsidR="0023230E" w:rsidRDefault="0023230E" w:rsidP="000E33AB">
      <w:pPr>
        <w:spacing w:line="360" w:lineRule="auto"/>
        <w:jc w:val="both"/>
      </w:pPr>
      <w:r>
        <w:t>-</w:t>
      </w:r>
      <w:r w:rsidR="00554558">
        <w:t xml:space="preserve"> </w:t>
      </w:r>
      <w:r>
        <w:t>le dossier d’HDR</w:t>
      </w:r>
      <w:r w:rsidR="00405F79">
        <w:t>,</w:t>
      </w:r>
      <w:r w:rsidR="00FF659A">
        <w:t xml:space="preserve"> qui</w:t>
      </w:r>
      <w:r>
        <w:t xml:space="preserve"> doit témoigner de l’ouverture des chercheurs à l’international (notamment à travers des travaux en anglais et publiés ou proposés pour publication d</w:t>
      </w:r>
      <w:r w:rsidR="00F44351">
        <w:t>ans des revues à comité</w:t>
      </w:r>
      <w:r>
        <w:t xml:space="preserve"> international exigeant des méthodes spécifiques) ou bien à travers le mon</w:t>
      </w:r>
      <w:r w:rsidR="00FF659A">
        <w:t>tage de projets reposant sur la constitution de réseaux internationaux ;</w:t>
      </w:r>
    </w:p>
    <w:p w14:paraId="2A5DEB01" w14:textId="77777777" w:rsidR="0023230E" w:rsidRDefault="0023230E" w:rsidP="000E33AB">
      <w:pPr>
        <w:spacing w:line="360" w:lineRule="auto"/>
        <w:jc w:val="both"/>
      </w:pPr>
      <w:r>
        <w:lastRenderedPageBreak/>
        <w:t>-</w:t>
      </w:r>
      <w:r w:rsidR="00405F79">
        <w:t xml:space="preserve"> </w:t>
      </w:r>
      <w:r>
        <w:t>on prendra en compte l’implication personnel</w:t>
      </w:r>
      <w:r w:rsidR="00F44351">
        <w:t>le</w:t>
      </w:r>
      <w:r>
        <w:t xml:space="preserve"> dans un collectif (par exemple, l’implication dans un comité de revue)</w:t>
      </w:r>
      <w:r w:rsidR="00B30186">
        <w:t xml:space="preserve"> dans le dossier de synthèse</w:t>
      </w:r>
      <w:r w:rsidR="00FF659A">
        <w:t> ;</w:t>
      </w:r>
    </w:p>
    <w:p w14:paraId="700D3E75" w14:textId="081C5390" w:rsidR="00044E81" w:rsidRDefault="00044E81" w:rsidP="000E33AB">
      <w:pPr>
        <w:spacing w:line="360" w:lineRule="auto"/>
        <w:jc w:val="both"/>
      </w:pPr>
      <w:r>
        <w:t>-</w:t>
      </w:r>
      <w:r w:rsidR="00405F79">
        <w:t xml:space="preserve"> les candidats doivent </w:t>
      </w:r>
      <w:r>
        <w:t>justifier d’une expérience pédagogique solide, d’une recherche nouvelle par rapport à la thèse, d’une activité d’encadrement de mémoires de Master, voire de co-direction de thèse</w:t>
      </w:r>
      <w:r w:rsidR="006C6EAF">
        <w:t>.</w:t>
      </w:r>
    </w:p>
    <w:p w14:paraId="4721F814" w14:textId="709304D8" w:rsidR="00044E81" w:rsidRDefault="00044E81" w:rsidP="000E33AB">
      <w:pPr>
        <w:spacing w:line="360" w:lineRule="auto"/>
        <w:jc w:val="both"/>
      </w:pPr>
      <w:r>
        <w:t xml:space="preserve">Ce sont là quelques-unes des préconisations sur lesquelles nous avons travaillé et </w:t>
      </w:r>
      <w:r w:rsidR="00405F79">
        <w:t xml:space="preserve">que </w:t>
      </w:r>
      <w:r w:rsidR="00A170A8">
        <w:t>n</w:t>
      </w:r>
      <w:r w:rsidRPr="00044E81">
        <w:t>ous souhaitons, avant mise définitive sur le site, proposer à l’AFEA.</w:t>
      </w:r>
    </w:p>
    <w:p w14:paraId="7D36EE8E" w14:textId="77777777" w:rsidR="00F44351" w:rsidRDefault="00F44351" w:rsidP="000E33AB">
      <w:pPr>
        <w:spacing w:line="360" w:lineRule="auto"/>
        <w:jc w:val="both"/>
      </w:pPr>
    </w:p>
    <w:p w14:paraId="3F6AAEE1" w14:textId="77777777" w:rsidR="00F44351" w:rsidRDefault="00F44351" w:rsidP="000E33AB">
      <w:pPr>
        <w:spacing w:line="360" w:lineRule="auto"/>
        <w:jc w:val="both"/>
      </w:pPr>
      <w:r>
        <w:t>En ce qui concerne la Ta</w:t>
      </w:r>
      <w:r w:rsidR="00FF659A">
        <w:t>ble Ronde proprement dite, nous proposons</w:t>
      </w:r>
      <w:r>
        <w:t xml:space="preserve"> une discussion sur les enjeux et la finalité de l’HDR, sur ce que ce diplôme représente, sur le rôle du CNU non seulement dans la qualification mais aussi à travers toutes les actions autres que la qualification que le CNU est amené à entreprendre dans le contexte particulier qui est le nôtre actuellement. </w:t>
      </w:r>
    </w:p>
    <w:p w14:paraId="7AC3B9CA" w14:textId="77777777" w:rsidR="00B30186" w:rsidRDefault="00B30186" w:rsidP="000E33AB">
      <w:pPr>
        <w:spacing w:line="360" w:lineRule="auto"/>
        <w:jc w:val="both"/>
      </w:pPr>
    </w:p>
    <w:p w14:paraId="41BB623C" w14:textId="77777777" w:rsidR="00F44351" w:rsidRDefault="00F44351" w:rsidP="000E33AB">
      <w:pPr>
        <w:spacing w:line="360" w:lineRule="auto"/>
        <w:jc w:val="both"/>
      </w:pPr>
      <w:r>
        <w:t>Jean Viviès, Président de la 11</w:t>
      </w:r>
      <w:r w:rsidRPr="00F44351">
        <w:rPr>
          <w:vertAlign w:val="superscript"/>
        </w:rPr>
        <w:t>ème</w:t>
      </w:r>
      <w:r>
        <w:t xml:space="preserve"> section du CNU</w:t>
      </w:r>
      <w:r w:rsidR="00F0265F">
        <w:t>,</w:t>
      </w:r>
      <w:r>
        <w:t xml:space="preserve"> intervient donc aujourd’hui sur ces points et, après son intervention, une discussion s’engagera librement.</w:t>
      </w:r>
    </w:p>
    <w:p w14:paraId="627D8377" w14:textId="77777777" w:rsidR="003F7586" w:rsidRDefault="003F7586" w:rsidP="000E33AB">
      <w:pPr>
        <w:spacing w:line="360" w:lineRule="auto"/>
        <w:jc w:val="both"/>
        <w:rPr>
          <w:b/>
        </w:rPr>
      </w:pPr>
    </w:p>
    <w:p w14:paraId="4013DBEC" w14:textId="77777777" w:rsidR="00881134" w:rsidRPr="00FF659A" w:rsidRDefault="00881134" w:rsidP="000E33AB">
      <w:pPr>
        <w:spacing w:line="360" w:lineRule="auto"/>
        <w:jc w:val="both"/>
      </w:pPr>
      <w:r w:rsidRPr="00FF659A">
        <w:t>Intervention Jean Viviès</w:t>
      </w:r>
      <w:r w:rsidR="00FF659A">
        <w:t>, Président de la 11</w:t>
      </w:r>
      <w:r w:rsidR="00FF659A" w:rsidRPr="00FF659A">
        <w:rPr>
          <w:vertAlign w:val="superscript"/>
        </w:rPr>
        <w:t>ème</w:t>
      </w:r>
      <w:r w:rsidR="00B30186">
        <w:t xml:space="preserve"> section du CNU.</w:t>
      </w:r>
    </w:p>
    <w:p w14:paraId="04294CE4" w14:textId="77777777" w:rsidR="003F7586" w:rsidRDefault="003F7586" w:rsidP="000E33AB">
      <w:pPr>
        <w:spacing w:line="360" w:lineRule="auto"/>
        <w:jc w:val="both"/>
      </w:pPr>
    </w:p>
    <w:p w14:paraId="54E8D269" w14:textId="2D4A0639" w:rsidR="000E33AB" w:rsidRDefault="00FF659A" w:rsidP="000E33AB">
      <w:pPr>
        <w:spacing w:line="360" w:lineRule="auto"/>
        <w:jc w:val="both"/>
      </w:pPr>
      <w:r>
        <w:t>L’</w:t>
      </w:r>
      <w:r w:rsidR="000E33AB">
        <w:t>HDR est un diplôme (voir art.</w:t>
      </w:r>
      <w:r>
        <w:t xml:space="preserve"> 1 de l’a</w:t>
      </w:r>
      <w:r w:rsidR="00F0265F">
        <w:t>rrêté du 23 nov. 1988 ainsi que</w:t>
      </w:r>
      <w:r w:rsidR="000E33AB">
        <w:t xml:space="preserve"> les pré</w:t>
      </w:r>
      <w:r w:rsidR="001C68B5">
        <w:t>conisations sur le s</w:t>
      </w:r>
      <w:r w:rsidR="000E33AB">
        <w:t xml:space="preserve">ite de la SAES : </w:t>
      </w:r>
      <w:r w:rsidR="0027041C">
        <w:t xml:space="preserve">le texte élaboré </w:t>
      </w:r>
      <w:r w:rsidR="0027041C" w:rsidRPr="009A01FD">
        <w:t>en 2008 est très clair et précis mais il peut être en partie actualisé</w:t>
      </w:r>
      <w:r w:rsidRPr="009A01FD">
        <w:t xml:space="preserve">, </w:t>
      </w:r>
      <w:r w:rsidR="000E33AB" w:rsidRPr="009A01FD">
        <w:t>notamm</w:t>
      </w:r>
      <w:r w:rsidRPr="009A01FD">
        <w:t xml:space="preserve">ent par rapport </w:t>
      </w:r>
      <w:r w:rsidR="00934116" w:rsidRPr="009A01FD">
        <w:t>aux activités liées</w:t>
      </w:r>
      <w:r w:rsidR="00934116">
        <w:t xml:space="preserve"> </w:t>
      </w:r>
      <w:r>
        <w:t>au numérique). Les p</w:t>
      </w:r>
      <w:r w:rsidR="000E33AB">
        <w:t>ratiques</w:t>
      </w:r>
      <w:r>
        <w:t xml:space="preserve"> et les exigences</w:t>
      </w:r>
      <w:r w:rsidR="000E33AB">
        <w:t xml:space="preserve"> varient</w:t>
      </w:r>
      <w:r>
        <w:t xml:space="preserve"> selon les universités : certains établissements</w:t>
      </w:r>
      <w:r w:rsidR="000E33AB">
        <w:t xml:space="preserve"> demandent un</w:t>
      </w:r>
      <w:r>
        <w:t>e</w:t>
      </w:r>
      <w:r w:rsidR="000E33AB">
        <w:t xml:space="preserve"> monographie origi</w:t>
      </w:r>
      <w:r w:rsidR="00934116">
        <w:t xml:space="preserve">nale publiée, d’autres pas </w:t>
      </w:r>
      <w:r w:rsidR="00934116" w:rsidRPr="009A01FD">
        <w:t>nécessaire</w:t>
      </w:r>
      <w:r w:rsidR="000E33AB" w:rsidRPr="009A01FD">
        <w:t>ment</w:t>
      </w:r>
      <w:r w:rsidR="0027041C" w:rsidRPr="009A01FD">
        <w:t xml:space="preserve"> publiée</w:t>
      </w:r>
      <w:r w:rsidR="000E33AB" w:rsidRPr="009A01FD">
        <w:t xml:space="preserve"> </w:t>
      </w:r>
      <w:r w:rsidR="001C68B5" w:rsidRPr="009A01FD">
        <w:t>mais publiable,</w:t>
      </w:r>
      <w:r w:rsidR="001C68B5">
        <w:t xml:space="preserve"> </w:t>
      </w:r>
      <w:r w:rsidR="000E33AB">
        <w:t>ou</w:t>
      </w:r>
      <w:r w:rsidR="00934116">
        <w:t xml:space="preserve"> </w:t>
      </w:r>
      <w:r w:rsidR="000E33AB">
        <w:t>un contrat de publication</w:t>
      </w:r>
      <w:r w:rsidR="003810FB">
        <w:t>s</w:t>
      </w:r>
      <w:r w:rsidR="000E33AB">
        <w:t xml:space="preserve"> à venir.</w:t>
      </w:r>
    </w:p>
    <w:p w14:paraId="02DCF2A5" w14:textId="77777777" w:rsidR="000E33AB" w:rsidRDefault="000E33AB" w:rsidP="000E33AB">
      <w:pPr>
        <w:spacing w:line="360" w:lineRule="auto"/>
        <w:jc w:val="both"/>
      </w:pPr>
    </w:p>
    <w:p w14:paraId="71555804" w14:textId="7290CD37" w:rsidR="000E33AB" w:rsidRDefault="000E33AB" w:rsidP="000E33AB">
      <w:pPr>
        <w:spacing w:line="360" w:lineRule="auto"/>
        <w:jc w:val="both"/>
      </w:pPr>
      <w:r>
        <w:rPr>
          <w:b/>
        </w:rPr>
        <w:t>Rôle du CNU </w:t>
      </w:r>
      <w:r>
        <w:t xml:space="preserve">: </w:t>
      </w:r>
      <w:r w:rsidR="001B5334" w:rsidRPr="009A01FD">
        <w:t>la mission</w:t>
      </w:r>
      <w:r w:rsidR="001B5334">
        <w:t xml:space="preserve"> </w:t>
      </w:r>
      <w:r w:rsidR="00FF659A">
        <w:t xml:space="preserve">du CNU se situe </w:t>
      </w:r>
      <w:r>
        <w:t xml:space="preserve">en aval de l’HDR, </w:t>
      </w:r>
      <w:r w:rsidR="00934116">
        <w:t xml:space="preserve">et </w:t>
      </w:r>
      <w:r w:rsidR="00934116" w:rsidRPr="009A01FD">
        <w:t>concerne</w:t>
      </w:r>
      <w:r w:rsidR="00F0265F">
        <w:t xml:space="preserve"> essentiellement la </w:t>
      </w:r>
      <w:r w:rsidR="00934116">
        <w:t>qualification</w:t>
      </w:r>
      <w:r w:rsidR="001B5334">
        <w:t xml:space="preserve">, qui est encadrée par </w:t>
      </w:r>
      <w:r>
        <w:t>un ensemble de dates précis</w:t>
      </w:r>
      <w:r w:rsidR="00FF659A">
        <w:t>es</w:t>
      </w:r>
      <w:r w:rsidR="001B5334">
        <w:t xml:space="preserve"> à respecter</w:t>
      </w:r>
      <w:r>
        <w:t>. La qualification est large ; le CNU qualifie à des fonctions</w:t>
      </w:r>
      <w:r w:rsidR="001B5334">
        <w:t xml:space="preserve"> et </w:t>
      </w:r>
      <w:r w:rsidR="001B5334" w:rsidRPr="009A01FD">
        <w:t xml:space="preserve">n’est pas un second jury </w:t>
      </w:r>
      <w:r w:rsidR="009F4591" w:rsidRPr="009A01FD">
        <w:t>d’HDR</w:t>
      </w:r>
      <w:r w:rsidR="009A01FD">
        <w:t>.</w:t>
      </w:r>
      <w:r w:rsidR="009F4591">
        <w:t xml:space="preserve"> </w:t>
      </w:r>
    </w:p>
    <w:p w14:paraId="721E7482" w14:textId="1CF01C46" w:rsidR="00852ECD" w:rsidRDefault="00852ECD" w:rsidP="000E33AB">
      <w:pPr>
        <w:spacing w:line="360" w:lineRule="auto"/>
        <w:jc w:val="both"/>
      </w:pPr>
      <w:r>
        <w:t xml:space="preserve">Or, le CNU est l’objet de </w:t>
      </w:r>
      <w:r w:rsidR="001B5334" w:rsidRPr="009A01FD">
        <w:t>certaines</w:t>
      </w:r>
      <w:r w:rsidR="001B5334">
        <w:t xml:space="preserve"> </w:t>
      </w:r>
      <w:r>
        <w:t xml:space="preserve">critiques, </w:t>
      </w:r>
      <w:r w:rsidR="00FF659A">
        <w:t xml:space="preserve">portant </w:t>
      </w:r>
      <w:r>
        <w:t xml:space="preserve">notamment sur son utilité, </w:t>
      </w:r>
      <w:r w:rsidR="00FF659A">
        <w:t xml:space="preserve">et </w:t>
      </w:r>
      <w:r>
        <w:t xml:space="preserve">son rythme annuel </w:t>
      </w:r>
      <w:r w:rsidR="001B5334" w:rsidRPr="009A01FD">
        <w:t xml:space="preserve">qui peut </w:t>
      </w:r>
      <w:r w:rsidRPr="009A01FD">
        <w:t>entre</w:t>
      </w:r>
      <w:r w:rsidR="001B5334" w:rsidRPr="009A01FD">
        <w:t>r</w:t>
      </w:r>
      <w:r>
        <w:t xml:space="preserve"> en tension avec le proces</w:t>
      </w:r>
      <w:r w:rsidR="00FF659A">
        <w:t>sus</w:t>
      </w:r>
      <w:r w:rsidR="00B30186">
        <w:t xml:space="preserve"> de recrutement</w:t>
      </w:r>
      <w:r w:rsidR="00FF659A">
        <w:t xml:space="preserve"> « au fil </w:t>
      </w:r>
      <w:r w:rsidR="001B5334">
        <w:t xml:space="preserve">de l’eau » ; on </w:t>
      </w:r>
      <w:r w:rsidR="001B5334" w:rsidRPr="009A01FD">
        <w:t>rappelle parfois que de</w:t>
      </w:r>
      <w:r>
        <w:t xml:space="preserve"> grands pays de recherche n’ont pas de CNU.</w:t>
      </w:r>
    </w:p>
    <w:p w14:paraId="15689517" w14:textId="41BE6F2A" w:rsidR="00C75885" w:rsidRDefault="00852ECD" w:rsidP="000E33AB">
      <w:pPr>
        <w:spacing w:line="360" w:lineRule="auto"/>
        <w:jc w:val="both"/>
      </w:pPr>
      <w:r>
        <w:t>Mais</w:t>
      </w:r>
      <w:r w:rsidR="000C38B7">
        <w:t>, dans la mesure où les P</w:t>
      </w:r>
      <w:r w:rsidR="00F0265F">
        <w:t xml:space="preserve">rofesseurs </w:t>
      </w:r>
      <w:r>
        <w:t xml:space="preserve">et </w:t>
      </w:r>
      <w:r w:rsidR="00FF659A">
        <w:t xml:space="preserve">les </w:t>
      </w:r>
      <w:r w:rsidR="000C38B7">
        <w:t>maîtres de c</w:t>
      </w:r>
      <w:r w:rsidR="00FF659A">
        <w:t>onférence</w:t>
      </w:r>
      <w:r>
        <w:t xml:space="preserve"> </w:t>
      </w:r>
      <w:r w:rsidR="001B5334">
        <w:t xml:space="preserve">sont </w:t>
      </w:r>
      <w:r w:rsidR="001B5334" w:rsidRPr="009A01FD">
        <w:t xml:space="preserve">recrutés ensuite </w:t>
      </w:r>
      <w:r w:rsidR="009F4591" w:rsidRPr="009A01FD">
        <w:t>comme fonctionnaires</w:t>
      </w:r>
      <w:r w:rsidR="001B5334" w:rsidRPr="009A01FD">
        <w:t xml:space="preserve"> d’E</w:t>
      </w:r>
      <w:r w:rsidR="00FF659A" w:rsidRPr="009A01FD">
        <w:t xml:space="preserve">tat, </w:t>
      </w:r>
      <w:r w:rsidR="001B5334" w:rsidRPr="009A01FD">
        <w:t>ces parallèles sont assez discutables</w:t>
      </w:r>
      <w:r w:rsidR="006C6EAF">
        <w:t>.</w:t>
      </w:r>
      <w:r w:rsidR="001B5334" w:rsidRPr="009A01FD">
        <w:t xml:space="preserve"> Le CNU est </w:t>
      </w:r>
      <w:r w:rsidR="000C38B7" w:rsidRPr="009A01FD">
        <w:t>d’</w:t>
      </w:r>
      <w:r w:rsidR="001C68B5" w:rsidRPr="009A01FD">
        <w:t xml:space="preserve">ailleurs aussi une instance qui a la légitimité de l’élection </w:t>
      </w:r>
      <w:r w:rsidR="000C38B7" w:rsidRPr="009A01FD">
        <w:t xml:space="preserve"> </w:t>
      </w:r>
      <w:r w:rsidR="001C68B5" w:rsidRPr="009A01FD">
        <w:t>(aux 2/3).</w:t>
      </w:r>
    </w:p>
    <w:p w14:paraId="682C628D" w14:textId="4E3ABCEE" w:rsidR="0035601B" w:rsidRDefault="00FF659A" w:rsidP="000E33AB">
      <w:pPr>
        <w:spacing w:line="360" w:lineRule="auto"/>
        <w:jc w:val="both"/>
      </w:pPr>
      <w:r>
        <w:t xml:space="preserve">Lorsque l’on affirme que le CNU </w:t>
      </w:r>
      <w:r w:rsidR="0035601B" w:rsidRPr="009A01FD">
        <w:t>prive</w:t>
      </w:r>
      <w:r w:rsidR="001B5334" w:rsidRPr="009A01FD">
        <w:t xml:space="preserve">rait les établissements de possibilités </w:t>
      </w:r>
      <w:r w:rsidR="0035601B" w:rsidRPr="009A01FD">
        <w:t>de recrutements étrangers, c’est inexact car les chercheurs étrangers</w:t>
      </w:r>
      <w:r w:rsidR="001B5334" w:rsidRPr="009A01FD">
        <w:t xml:space="preserve"> (ou</w:t>
      </w:r>
      <w:r w:rsidR="000C38B7" w:rsidRPr="009A01FD">
        <w:t xml:space="preserve"> français en poste à l’étranger) peuvent </w:t>
      </w:r>
      <w:r w:rsidR="009F4591" w:rsidRPr="009A01FD">
        <w:t>être dispensés</w:t>
      </w:r>
      <w:r w:rsidR="0035601B" w:rsidRPr="009A01FD">
        <w:t xml:space="preserve"> </w:t>
      </w:r>
      <w:r w:rsidR="001B5334" w:rsidRPr="009A01FD">
        <w:t xml:space="preserve">(sils le </w:t>
      </w:r>
      <w:r w:rsidR="009F4591" w:rsidRPr="009A01FD">
        <w:t>souhaitent) de</w:t>
      </w:r>
      <w:r w:rsidR="0035601B" w:rsidRPr="009A01FD">
        <w:t xml:space="preserve"> la qualification</w:t>
      </w:r>
      <w:r w:rsidRPr="009A01FD">
        <w:t> ;</w:t>
      </w:r>
      <w:r w:rsidR="0035601B" w:rsidRPr="009A01FD">
        <w:t xml:space="preserve"> </w:t>
      </w:r>
      <w:r w:rsidRPr="009A01FD">
        <w:t xml:space="preserve">de plus, </w:t>
      </w:r>
      <w:r w:rsidR="00F0265F" w:rsidRPr="009A01FD">
        <w:t xml:space="preserve">les </w:t>
      </w:r>
      <w:r w:rsidR="000C38B7" w:rsidRPr="009A01FD">
        <w:t xml:space="preserve">présidents MCF </w:t>
      </w:r>
      <w:r w:rsidR="009B6583" w:rsidRPr="009A01FD">
        <w:t xml:space="preserve">et </w:t>
      </w:r>
      <w:r w:rsidR="00F0265F" w:rsidRPr="009A01FD">
        <w:t xml:space="preserve">vice-présidents </w:t>
      </w:r>
      <w:r w:rsidR="000C38B7" w:rsidRPr="009A01FD">
        <w:t xml:space="preserve">MCF </w:t>
      </w:r>
      <w:r w:rsidR="009F4591" w:rsidRPr="009A01FD">
        <w:t>des conseils</w:t>
      </w:r>
      <w:r w:rsidR="009B6583" w:rsidRPr="009A01FD">
        <w:t xml:space="preserve"> </w:t>
      </w:r>
      <w:r w:rsidR="0035601B" w:rsidRPr="009A01FD">
        <w:t>centraux sont dispensés</w:t>
      </w:r>
      <w:r w:rsidR="0035601B">
        <w:t xml:space="preserve"> d’HDR et de qualification (</w:t>
      </w:r>
      <w:r>
        <w:t xml:space="preserve">il existe </w:t>
      </w:r>
      <w:r w:rsidR="0035601B">
        <w:t>donc des cas</w:t>
      </w:r>
      <w:r w:rsidR="000C38B7">
        <w:t xml:space="preserve"> dérogatoires non négligeable</w:t>
      </w:r>
      <w:r w:rsidR="006C6EAF">
        <w:t>s</w:t>
      </w:r>
      <w:r w:rsidR="000C38B7">
        <w:t>)</w:t>
      </w:r>
      <w:r w:rsidR="006C6EAF">
        <w:t>.</w:t>
      </w:r>
      <w:r w:rsidR="000C38B7">
        <w:t xml:space="preserve"> </w:t>
      </w:r>
    </w:p>
    <w:p w14:paraId="09CDBB34" w14:textId="77F6601B" w:rsidR="0035601B" w:rsidRDefault="000C38B7" w:rsidP="000E33AB">
      <w:pPr>
        <w:spacing w:line="360" w:lineRule="auto"/>
        <w:jc w:val="both"/>
      </w:pPr>
      <w:r>
        <w:t>L</w:t>
      </w:r>
      <w:r w:rsidR="0035601B">
        <w:t xml:space="preserve">e CNU ne recrute pas, </w:t>
      </w:r>
      <w:r w:rsidR="00FF659A">
        <w:t xml:space="preserve">il </w:t>
      </w:r>
      <w:r w:rsidR="0035601B">
        <w:t>qualifie</w:t>
      </w:r>
      <w:r w:rsidR="00F0265F">
        <w:t> ;</w:t>
      </w:r>
      <w:r w:rsidR="0035601B">
        <w:t xml:space="preserve"> ce sont les établissements</w:t>
      </w:r>
      <w:r w:rsidR="00FF659A">
        <w:t xml:space="preserve"> qu</w:t>
      </w:r>
      <w:r>
        <w:t xml:space="preserve">i procèdent au recrutement, et un </w:t>
      </w:r>
      <w:r w:rsidR="009F4591">
        <w:t xml:space="preserve">candidat </w:t>
      </w:r>
      <w:r w:rsidR="00D615BD">
        <w:t xml:space="preserve">peut </w:t>
      </w:r>
      <w:bookmarkStart w:id="0" w:name="_GoBack"/>
      <w:bookmarkEnd w:id="0"/>
      <w:r w:rsidR="009F4591">
        <w:t>aussi</w:t>
      </w:r>
      <w:r w:rsidR="009B6583">
        <w:t xml:space="preserve"> </w:t>
      </w:r>
      <w:r w:rsidR="0035601B">
        <w:t>f</w:t>
      </w:r>
      <w:r w:rsidR="00FF659A">
        <w:t>air</w:t>
      </w:r>
      <w:r w:rsidR="009B6583">
        <w:t>e appel de la non-</w:t>
      </w:r>
      <w:r w:rsidR="009B6583" w:rsidRPr="009A01FD">
        <w:t>qualification (après deux refus)</w:t>
      </w:r>
      <w:r w:rsidR="006C6EAF">
        <w:t>.</w:t>
      </w:r>
      <w:r w:rsidR="009B6583">
        <w:t xml:space="preserve"> </w:t>
      </w:r>
    </w:p>
    <w:p w14:paraId="349376A9" w14:textId="3FC9BABF" w:rsidR="0035601B" w:rsidRPr="00C75885" w:rsidRDefault="009B6583" w:rsidP="000E33AB">
      <w:pPr>
        <w:spacing w:line="360" w:lineRule="auto"/>
        <w:jc w:val="both"/>
      </w:pPr>
      <w:r>
        <w:t>L</w:t>
      </w:r>
      <w:r w:rsidR="00A6407A">
        <w:t xml:space="preserve">e </w:t>
      </w:r>
      <w:r w:rsidR="009F4591" w:rsidRPr="009A01FD">
        <w:t>CNU,</w:t>
      </w:r>
      <w:r w:rsidR="000C38B7" w:rsidRPr="009A01FD">
        <w:t xml:space="preserve"> instance qui existe sous des dénominations</w:t>
      </w:r>
      <w:r w:rsidRPr="009A01FD">
        <w:t xml:space="preserve"> diverses </w:t>
      </w:r>
      <w:r w:rsidRPr="000C38B7">
        <w:t>depuis 1945</w:t>
      </w:r>
      <w:r w:rsidR="001C68B5">
        <w:t>,</w:t>
      </w:r>
      <w:r>
        <w:t xml:space="preserve"> </w:t>
      </w:r>
      <w:r w:rsidR="00A6407A">
        <w:t>est investi de 4 missions</w:t>
      </w:r>
      <w:r w:rsidR="00F0265F">
        <w:t> :</w:t>
      </w:r>
      <w:r w:rsidR="00A6407A">
        <w:t xml:space="preserve"> la </w:t>
      </w:r>
      <w:r w:rsidR="0035601B">
        <w:t>qualif</w:t>
      </w:r>
      <w:r w:rsidR="00A6407A">
        <w:t>ication, la gestion des carrières et des CRCT, la PEDR</w:t>
      </w:r>
      <w:r w:rsidR="00F0265F">
        <w:t xml:space="preserve"> et</w:t>
      </w:r>
      <w:r w:rsidR="00A6407A">
        <w:t xml:space="preserve"> le </w:t>
      </w:r>
      <w:r w:rsidR="0035601B">
        <w:t xml:space="preserve">suivi de </w:t>
      </w:r>
      <w:r w:rsidR="009F4591">
        <w:t>carrière</w:t>
      </w:r>
      <w:r w:rsidR="006C6EAF">
        <w:t xml:space="preserve">. </w:t>
      </w:r>
      <w:r w:rsidR="009F4591">
        <w:t>Le</w:t>
      </w:r>
      <w:r w:rsidR="00A6407A">
        <w:t xml:space="preserve"> débat sur le CNU implique de soulever une question essentielle :</w:t>
      </w:r>
      <w:r w:rsidR="000C38B7">
        <w:t xml:space="preserve"> </w:t>
      </w:r>
      <w:r w:rsidR="000C38B7" w:rsidRPr="009A01FD">
        <w:t xml:space="preserve">les enseignants-chercheurs sont-ils </w:t>
      </w:r>
      <w:r w:rsidR="0035601B" w:rsidRPr="009A01FD">
        <w:t xml:space="preserve">régis par un </w:t>
      </w:r>
      <w:r w:rsidR="000C38B7" w:rsidRPr="009A01FD">
        <w:t>statut national ou sont-ils</w:t>
      </w:r>
      <w:r w:rsidR="00A6407A" w:rsidRPr="009A01FD">
        <w:t xml:space="preserve"> l</w:t>
      </w:r>
      <w:r w:rsidR="0035601B" w:rsidRPr="009A01FD">
        <w:t>es personnels d’une université à qui reviendr</w:t>
      </w:r>
      <w:r w:rsidR="000C38B7" w:rsidRPr="009A01FD">
        <w:t>ait la gestion entière de leur carrière ? Depuis les lois sur</w:t>
      </w:r>
      <w:r w:rsidR="000C38B7" w:rsidRPr="000C38B7">
        <w:rPr>
          <w:highlight w:val="green"/>
        </w:rPr>
        <w:t xml:space="preserve"> </w:t>
      </w:r>
      <w:r w:rsidR="000C38B7" w:rsidRPr="009A01FD">
        <w:t>l’autonomie</w:t>
      </w:r>
      <w:r w:rsidR="00B30186" w:rsidRPr="009A01FD">
        <w:t>,</w:t>
      </w:r>
      <w:r w:rsidR="00B30186">
        <w:t xml:space="preserve"> nous nous trouvons</w:t>
      </w:r>
      <w:r w:rsidR="0035601B">
        <w:t xml:space="preserve"> dans un</w:t>
      </w:r>
      <w:r w:rsidR="00F0265F">
        <w:t>e</w:t>
      </w:r>
      <w:r w:rsidR="000C38B7">
        <w:t xml:space="preserve"> </w:t>
      </w:r>
      <w:r w:rsidR="0035601B">
        <w:t>tension entre le statut de fonctionnaires</w:t>
      </w:r>
      <w:r w:rsidR="00D9636F">
        <w:t xml:space="preserve"> </w:t>
      </w:r>
      <w:r w:rsidR="000C38B7">
        <w:t>et le statut d’e</w:t>
      </w:r>
      <w:r w:rsidR="00A6407A">
        <w:t xml:space="preserve">nseignants-chercheurs </w:t>
      </w:r>
      <w:r w:rsidR="000C38B7">
        <w:t>personnels</w:t>
      </w:r>
      <w:r w:rsidR="00A6407A">
        <w:t xml:space="preserve"> des établissements</w:t>
      </w:r>
      <w:r w:rsidR="0035601B">
        <w:t>.</w:t>
      </w:r>
    </w:p>
    <w:p w14:paraId="183BF0C9" w14:textId="77777777" w:rsidR="00881134" w:rsidRDefault="00881134" w:rsidP="000E33AB">
      <w:pPr>
        <w:spacing w:line="360" w:lineRule="auto"/>
        <w:jc w:val="both"/>
        <w:rPr>
          <w:b/>
        </w:rPr>
      </w:pPr>
      <w:r>
        <w:rPr>
          <w:b/>
        </w:rPr>
        <w:t>Questions</w:t>
      </w:r>
      <w:r w:rsidR="00A6407A">
        <w:rPr>
          <w:b/>
        </w:rPr>
        <w:t xml:space="preserve"> posées</w:t>
      </w:r>
      <w:r>
        <w:rPr>
          <w:b/>
        </w:rPr>
        <w:t>/réponses</w:t>
      </w:r>
      <w:r w:rsidR="00A6407A">
        <w:rPr>
          <w:b/>
        </w:rPr>
        <w:t xml:space="preserve"> proposées :</w:t>
      </w:r>
    </w:p>
    <w:p w14:paraId="4E911C1F" w14:textId="68535E73" w:rsidR="0035601B" w:rsidRDefault="0035601B" w:rsidP="000E33AB">
      <w:pPr>
        <w:spacing w:line="360" w:lineRule="auto"/>
        <w:jc w:val="both"/>
      </w:pPr>
      <w:r w:rsidRPr="00153E45">
        <w:t>-W</w:t>
      </w:r>
      <w:r w:rsidR="00A6407A">
        <w:t>ilfrid Rotgé se demande</w:t>
      </w:r>
      <w:r w:rsidRPr="00153E45">
        <w:t xml:space="preserve"> si b</w:t>
      </w:r>
      <w:r w:rsidR="00A6407A">
        <w:t>eau</w:t>
      </w:r>
      <w:r w:rsidRPr="00153E45">
        <w:t>c</w:t>
      </w:r>
      <w:r w:rsidR="00A6407A">
        <w:t>ou</w:t>
      </w:r>
      <w:r w:rsidRPr="00153E45">
        <w:t>p d’univ</w:t>
      </w:r>
      <w:r w:rsidR="00153E45" w:rsidRPr="00153E45">
        <w:t>ersités remettent en cause le travail du CNU. J</w:t>
      </w:r>
      <w:r w:rsidR="00A6407A">
        <w:t>ean Viviès</w:t>
      </w:r>
      <w:r w:rsidR="00153E45" w:rsidRPr="00153E45">
        <w:t xml:space="preserve"> souligne que ce qui est</w:t>
      </w:r>
      <w:r w:rsidR="00A6407A">
        <w:t xml:space="preserve"> surtout</w:t>
      </w:r>
      <w:r w:rsidR="00D9636F">
        <w:t xml:space="preserve"> </w:t>
      </w:r>
      <w:r w:rsidR="00D9636F" w:rsidRPr="009A01FD">
        <w:t>discuté</w:t>
      </w:r>
      <w:r w:rsidR="00153E45" w:rsidRPr="009A01FD">
        <w:t>,</w:t>
      </w:r>
      <w:r w:rsidR="00153E45" w:rsidRPr="00153E45">
        <w:t xml:space="preserve"> c’est le </w:t>
      </w:r>
      <w:r w:rsidR="00A6407A">
        <w:t>rôle du CNU dans le processus du</w:t>
      </w:r>
      <w:r w:rsidR="00153E45" w:rsidRPr="00153E45">
        <w:t xml:space="preserve"> recrutement</w:t>
      </w:r>
      <w:r w:rsidR="00A6407A">
        <w:t>.</w:t>
      </w:r>
    </w:p>
    <w:p w14:paraId="2FF0A795" w14:textId="390DFA98" w:rsidR="00D33EB2" w:rsidRDefault="00153E45" w:rsidP="000E33AB">
      <w:pPr>
        <w:spacing w:line="360" w:lineRule="auto"/>
        <w:jc w:val="both"/>
      </w:pPr>
      <w:r w:rsidRPr="00646CF0">
        <w:rPr>
          <w:b/>
        </w:rPr>
        <w:t>-Q</w:t>
      </w:r>
      <w:r w:rsidR="00A6407A" w:rsidRPr="00646CF0">
        <w:rPr>
          <w:b/>
        </w:rPr>
        <w:t>uestion</w:t>
      </w:r>
      <w:r w:rsidRPr="00646CF0">
        <w:rPr>
          <w:b/>
        </w:rPr>
        <w:t> </w:t>
      </w:r>
      <w:r>
        <w:t xml:space="preserve">: </w:t>
      </w:r>
      <w:r w:rsidR="00A6407A">
        <w:t xml:space="preserve">quels sont les </w:t>
      </w:r>
      <w:r>
        <w:t>prérequis</w:t>
      </w:r>
      <w:r w:rsidR="00A6407A">
        <w:t xml:space="preserve"> pour l’HDR</w:t>
      </w:r>
      <w:r>
        <w:t>, le CNU prend-il en compte l’interruption de carrière, la</w:t>
      </w:r>
      <w:r w:rsidR="00F0265F">
        <w:t xml:space="preserve"> charge pédagogique par rapport</w:t>
      </w:r>
      <w:r>
        <w:t xml:space="preserve"> à la disponibilité </w:t>
      </w:r>
      <w:r w:rsidR="00A6407A">
        <w:t xml:space="preserve">pour la </w:t>
      </w:r>
      <w:r>
        <w:t xml:space="preserve">recherche ? </w:t>
      </w:r>
    </w:p>
    <w:p w14:paraId="404E7FAC" w14:textId="77777777" w:rsidR="00DD5607" w:rsidRDefault="00D33EB2" w:rsidP="00DD5607">
      <w:pPr>
        <w:spacing w:line="360" w:lineRule="auto"/>
        <w:jc w:val="both"/>
      </w:pPr>
      <w:r w:rsidRPr="00646CF0">
        <w:rPr>
          <w:b/>
        </w:rPr>
        <w:t>-</w:t>
      </w:r>
      <w:r w:rsidR="00153E45" w:rsidRPr="00646CF0">
        <w:rPr>
          <w:b/>
        </w:rPr>
        <w:t>R</w:t>
      </w:r>
      <w:r w:rsidR="00A6407A" w:rsidRPr="00646CF0">
        <w:rPr>
          <w:b/>
        </w:rPr>
        <w:t>éponse</w:t>
      </w:r>
      <w:r w:rsidR="00153E45" w:rsidRPr="00646CF0">
        <w:rPr>
          <w:b/>
        </w:rPr>
        <w:t> </w:t>
      </w:r>
      <w:r w:rsidR="00153E45">
        <w:t>: oui, le CNU prend en c</w:t>
      </w:r>
      <w:r w:rsidR="00A6407A">
        <w:t xml:space="preserve">ompte tous les </w:t>
      </w:r>
      <w:r w:rsidR="009F4591">
        <w:t>paramètres et</w:t>
      </w:r>
      <w:r w:rsidR="00D9636F">
        <w:t xml:space="preserve"> </w:t>
      </w:r>
      <w:r w:rsidR="00A6407A">
        <w:t>cas de figure, y compris le retard de carrière</w:t>
      </w:r>
      <w:r w:rsidR="00D9636F">
        <w:t xml:space="preserve"> et le contexte </w:t>
      </w:r>
      <w:r w:rsidR="009F4591">
        <w:t>d’exercice.</w:t>
      </w:r>
      <w:r w:rsidR="00A6407A">
        <w:t xml:space="preserve"> La </w:t>
      </w:r>
      <w:r w:rsidR="000C38B7">
        <w:t xml:space="preserve">seule </w:t>
      </w:r>
      <w:r w:rsidR="00A6407A">
        <w:t>quantité de</w:t>
      </w:r>
      <w:r w:rsidR="00B30186">
        <w:t>s</w:t>
      </w:r>
      <w:r w:rsidR="00A6407A">
        <w:t xml:space="preserve"> </w:t>
      </w:r>
      <w:r w:rsidR="009F4591">
        <w:t>publications ne</w:t>
      </w:r>
      <w:r w:rsidR="00153E45">
        <w:t xml:space="preserve"> </w:t>
      </w:r>
      <w:r w:rsidR="00A6407A">
        <w:t>pré</w:t>
      </w:r>
      <w:r w:rsidR="006C6EAF">
        <w:t xml:space="preserve">vaut pas forcément ; </w:t>
      </w:r>
      <w:r w:rsidR="000C38B7">
        <w:t>la qual</w:t>
      </w:r>
      <w:r w:rsidR="00D9636F">
        <w:t xml:space="preserve">ité de ces </w:t>
      </w:r>
      <w:r w:rsidR="000C38B7">
        <w:t>d</w:t>
      </w:r>
      <w:r w:rsidR="00D9636F">
        <w:t>ernières, ainsi que leur caract</w:t>
      </w:r>
      <w:r w:rsidR="000C38B7">
        <w:t xml:space="preserve">ère </w:t>
      </w:r>
      <w:r w:rsidR="00153E45">
        <w:t xml:space="preserve">international, </w:t>
      </w:r>
      <w:r w:rsidR="006C6EAF">
        <w:t>sont important</w:t>
      </w:r>
      <w:r w:rsidR="000C38B7" w:rsidRPr="009A01FD">
        <w:t>s.</w:t>
      </w:r>
    </w:p>
    <w:p w14:paraId="3FA17384" w14:textId="52F6F9B8" w:rsidR="00DD5607" w:rsidRDefault="00A6407A" w:rsidP="00DD5607">
      <w:pPr>
        <w:spacing w:line="360" w:lineRule="auto"/>
        <w:jc w:val="both"/>
      </w:pPr>
      <w:r w:rsidRPr="00646CF0">
        <w:rPr>
          <w:b/>
        </w:rPr>
        <w:t>-</w:t>
      </w:r>
      <w:r w:rsidR="00153E45" w:rsidRPr="00646CF0">
        <w:rPr>
          <w:b/>
        </w:rPr>
        <w:t>Q</w:t>
      </w:r>
      <w:r w:rsidRPr="00646CF0">
        <w:rPr>
          <w:b/>
        </w:rPr>
        <w:t>uestion </w:t>
      </w:r>
      <w:r>
        <w:t>: sur la monographie :</w:t>
      </w:r>
      <w:r w:rsidR="00153E45">
        <w:t xml:space="preserve"> </w:t>
      </w:r>
      <w:r w:rsidR="00DD5607">
        <w:t>certains collègues, qui ont joué le jeu de la monographie (et ont été qualifiés), se sont émus de voir d’autres collègues, qui n’ont pas rédigé de monographie, être également qualifiés.</w:t>
      </w:r>
      <w:r w:rsidR="00DD5607">
        <w:rPr>
          <w:rFonts w:ascii="Cambria" w:hAnsi="Cambria"/>
          <w:color w:val="333333"/>
        </w:rPr>
        <w:t xml:space="preserve"> </w:t>
      </w:r>
    </w:p>
    <w:p w14:paraId="1395A56E" w14:textId="361E9A36" w:rsidR="00153E45" w:rsidRDefault="00153E45" w:rsidP="000E33AB">
      <w:pPr>
        <w:spacing w:line="360" w:lineRule="auto"/>
        <w:jc w:val="both"/>
      </w:pPr>
      <w:r>
        <w:t>W</w:t>
      </w:r>
      <w:r w:rsidR="00D33EB2">
        <w:t xml:space="preserve">ilfrid </w:t>
      </w:r>
      <w:r>
        <w:t>R</w:t>
      </w:r>
      <w:r w:rsidR="00D33EB2">
        <w:t>otgé</w:t>
      </w:r>
      <w:r>
        <w:t xml:space="preserve"> répond que l’on ne peut pas </w:t>
      </w:r>
      <w:r w:rsidR="00B30186">
        <w:t>l’</w:t>
      </w:r>
      <w:r w:rsidR="00DE557F">
        <w:t xml:space="preserve">exiger. </w:t>
      </w:r>
      <w:r w:rsidR="00DE557F" w:rsidRPr="009A01FD">
        <w:t>On peut quand même dire qu’il est nettement préférable d’en rédiger une. L</w:t>
      </w:r>
      <w:r w:rsidRPr="009A01FD">
        <w:t>a monographie est moi</w:t>
      </w:r>
      <w:r>
        <w:t>ns naturelle dan</w:t>
      </w:r>
      <w:r w:rsidR="00D33EB2">
        <w:t>s certaines disciplines comme la linguistique (</w:t>
      </w:r>
      <w:r w:rsidR="00DE557F">
        <w:t xml:space="preserve">bien qu’elle </w:t>
      </w:r>
      <w:r w:rsidR="00D33EB2">
        <w:t>s</w:t>
      </w:r>
      <w:r>
        <w:t xml:space="preserve">emble </w:t>
      </w:r>
      <w:r w:rsidR="00D33EB2">
        <w:t>de plus en plus requise en linguistique</w:t>
      </w:r>
      <w:r>
        <w:t>) ou en phonol</w:t>
      </w:r>
      <w:r w:rsidR="00D33EB2">
        <w:t>ogie, mais il y a d’autres missions</w:t>
      </w:r>
      <w:r>
        <w:t xml:space="preserve"> à prendre en compte comme l’implication dans le numérique</w:t>
      </w:r>
      <w:r w:rsidR="00D76866">
        <w:t>.</w:t>
      </w:r>
    </w:p>
    <w:p w14:paraId="6EF82993" w14:textId="38C12CCB" w:rsidR="00D76866" w:rsidRDefault="00D76866" w:rsidP="000E33AB">
      <w:pPr>
        <w:spacing w:line="360" w:lineRule="auto"/>
        <w:jc w:val="both"/>
      </w:pPr>
      <w:r>
        <w:t>J</w:t>
      </w:r>
      <w:r w:rsidR="00F0265F">
        <w:t>ean Viviès rappelle que</w:t>
      </w:r>
      <w:r w:rsidR="00D33EB2">
        <w:t xml:space="preserve"> l’HDR</w:t>
      </w:r>
      <w:r>
        <w:t xml:space="preserve"> est délivrée par l’é</w:t>
      </w:r>
      <w:r w:rsidR="000C38B7">
        <w:t>tablissement. L</w:t>
      </w:r>
      <w:r w:rsidR="00D33EB2">
        <w:t>’article</w:t>
      </w:r>
      <w:r w:rsidR="00D9636F">
        <w:t xml:space="preserve"> dan</w:t>
      </w:r>
      <w:r w:rsidR="000C38B7">
        <w:t xml:space="preserve">s de nombreuses disciplines </w:t>
      </w:r>
      <w:r w:rsidR="000C38B7" w:rsidRPr="009A01FD">
        <w:t>cons</w:t>
      </w:r>
      <w:r w:rsidR="00D9636F" w:rsidRPr="009A01FD">
        <w:t xml:space="preserve">titue </w:t>
      </w:r>
      <w:r w:rsidR="009F4591" w:rsidRPr="009A01FD">
        <w:t>le vecteur de</w:t>
      </w:r>
      <w:r w:rsidR="00F0265F" w:rsidRPr="009A01FD">
        <w:t xml:space="preserve"> publication </w:t>
      </w:r>
      <w:r w:rsidR="00D33EB2" w:rsidRPr="009A01FD">
        <w:t xml:space="preserve">que l’on met </w:t>
      </w:r>
      <w:r w:rsidR="000C38B7" w:rsidRPr="009A01FD">
        <w:t xml:space="preserve">le plus </w:t>
      </w:r>
      <w:r w:rsidR="00D33EB2" w:rsidRPr="009A01FD">
        <w:t>en avant ainsi que</w:t>
      </w:r>
      <w:r w:rsidR="00D9636F" w:rsidRPr="009A01FD">
        <w:t xml:space="preserve"> la qualité d</w:t>
      </w:r>
      <w:r w:rsidR="000C38B7" w:rsidRPr="009A01FD">
        <w:t>e</w:t>
      </w:r>
      <w:r w:rsidR="00D9636F" w:rsidRPr="009A01FD">
        <w:t xml:space="preserve">s </w:t>
      </w:r>
      <w:r w:rsidRPr="009A01FD">
        <w:t>support</w:t>
      </w:r>
      <w:r w:rsidR="00D9636F" w:rsidRPr="009A01FD">
        <w:t>s</w:t>
      </w:r>
      <w:r w:rsidR="000C38B7" w:rsidRPr="009A01FD">
        <w:t xml:space="preserve"> (revues)</w:t>
      </w:r>
      <w:r w:rsidRPr="009A01FD">
        <w:t>.</w:t>
      </w:r>
    </w:p>
    <w:p w14:paraId="415FEA95" w14:textId="16839832" w:rsidR="00D76866" w:rsidRDefault="00D76866" w:rsidP="000E33AB">
      <w:pPr>
        <w:spacing w:line="360" w:lineRule="auto"/>
        <w:jc w:val="both"/>
      </w:pPr>
      <w:r w:rsidRPr="00646CF0">
        <w:rPr>
          <w:b/>
        </w:rPr>
        <w:t>-Q</w:t>
      </w:r>
      <w:r w:rsidR="00D33EB2" w:rsidRPr="00646CF0">
        <w:rPr>
          <w:b/>
        </w:rPr>
        <w:t>uestion</w:t>
      </w:r>
      <w:r w:rsidRPr="00646CF0">
        <w:rPr>
          <w:b/>
        </w:rPr>
        <w:t> </w:t>
      </w:r>
      <w:r>
        <w:t xml:space="preserve">: </w:t>
      </w:r>
      <w:r w:rsidR="00D33EB2">
        <w:t xml:space="preserve">on souhaite une clarification portant sur les </w:t>
      </w:r>
      <w:r>
        <w:t>article</w:t>
      </w:r>
      <w:r w:rsidR="00D33EB2">
        <w:t>s</w:t>
      </w:r>
      <w:r>
        <w:t xml:space="preserve"> et le</w:t>
      </w:r>
      <w:r w:rsidR="00D33EB2">
        <w:t>ur</w:t>
      </w:r>
      <w:r>
        <w:t xml:space="preserve"> nombre. Il faut préciser le texte de préconisation de 1988.</w:t>
      </w:r>
    </w:p>
    <w:p w14:paraId="17B72B7A" w14:textId="51727C72" w:rsidR="00D76866" w:rsidRDefault="00D33EB2" w:rsidP="000E33AB">
      <w:pPr>
        <w:spacing w:line="360" w:lineRule="auto"/>
        <w:jc w:val="both"/>
      </w:pPr>
      <w:r w:rsidRPr="00646CF0">
        <w:rPr>
          <w:b/>
        </w:rPr>
        <w:t>-</w:t>
      </w:r>
      <w:r w:rsidR="00D76866" w:rsidRPr="00646CF0">
        <w:rPr>
          <w:b/>
        </w:rPr>
        <w:t>R</w:t>
      </w:r>
      <w:r w:rsidRPr="00646CF0">
        <w:rPr>
          <w:b/>
        </w:rPr>
        <w:t>éponse </w:t>
      </w:r>
      <w:r>
        <w:t xml:space="preserve">: </w:t>
      </w:r>
      <w:r w:rsidR="00D76866">
        <w:t>globalement</w:t>
      </w:r>
      <w:r w:rsidR="00F0265F">
        <w:t>,</w:t>
      </w:r>
      <w:r w:rsidR="00D76866">
        <w:t xml:space="preserve"> c’est l’ensemble du dossier qui est jugé et le</w:t>
      </w:r>
      <w:r>
        <w:t xml:space="preserve"> nombre d</w:t>
      </w:r>
      <w:r w:rsidR="003810FB">
        <w:t>e</w:t>
      </w:r>
      <w:r>
        <w:t xml:space="preserve"> 10-15 articles apr</w:t>
      </w:r>
      <w:r w:rsidR="00D76866">
        <w:t xml:space="preserve">ès la thèse peut valoir. L’important </w:t>
      </w:r>
      <w:r w:rsidR="000C38B7">
        <w:t xml:space="preserve">est </w:t>
      </w:r>
      <w:r w:rsidR="000C38B7" w:rsidRPr="009A01FD">
        <w:t xml:space="preserve">d’avoir produit </w:t>
      </w:r>
      <w:r w:rsidR="00D9636F" w:rsidRPr="009A01FD">
        <w:t xml:space="preserve">un travail </w:t>
      </w:r>
      <w:r w:rsidR="000C38B7" w:rsidRPr="009A01FD">
        <w:t xml:space="preserve">nouveau </w:t>
      </w:r>
      <w:r w:rsidR="00D76866" w:rsidRPr="009A01FD">
        <w:t>par rapport à la thèse. Il faut</w:t>
      </w:r>
      <w:r w:rsidR="000C38B7" w:rsidRPr="009A01FD">
        <w:t xml:space="preserve"> que le dossier offre</w:t>
      </w:r>
      <w:r w:rsidR="00D76866" w:rsidRPr="009A01FD">
        <w:t xml:space="preserve"> </w:t>
      </w:r>
      <w:r w:rsidRPr="009A01FD">
        <w:t>les garanties scientifiques permettant</w:t>
      </w:r>
      <w:r w:rsidR="00D76866" w:rsidRPr="009A01FD">
        <w:t xml:space="preserve"> l’encadrement </w:t>
      </w:r>
      <w:r w:rsidR="000C38B7" w:rsidRPr="009A01FD">
        <w:t xml:space="preserve">de </w:t>
      </w:r>
      <w:r w:rsidR="009F4591" w:rsidRPr="009A01FD">
        <w:t>jeunes</w:t>
      </w:r>
      <w:r w:rsidR="000C38B7" w:rsidRPr="009A01FD">
        <w:t xml:space="preserve"> </w:t>
      </w:r>
      <w:r w:rsidR="009F4591" w:rsidRPr="009A01FD">
        <w:t>chercheurs</w:t>
      </w:r>
      <w:r w:rsidR="000C38B7" w:rsidRPr="009A01FD">
        <w:t>.</w:t>
      </w:r>
    </w:p>
    <w:p w14:paraId="690B9686" w14:textId="301D09CA" w:rsidR="00D76866" w:rsidRDefault="00D76866" w:rsidP="000E33AB">
      <w:pPr>
        <w:spacing w:line="360" w:lineRule="auto"/>
        <w:jc w:val="both"/>
      </w:pPr>
      <w:r w:rsidRPr="00646CF0">
        <w:rPr>
          <w:b/>
        </w:rPr>
        <w:t>-Q</w:t>
      </w:r>
      <w:r w:rsidR="00D33EB2" w:rsidRPr="00646CF0">
        <w:rPr>
          <w:b/>
        </w:rPr>
        <w:t>uestion</w:t>
      </w:r>
      <w:r w:rsidRPr="00646CF0">
        <w:rPr>
          <w:b/>
        </w:rPr>
        <w:t>/remarque </w:t>
      </w:r>
      <w:r>
        <w:t>: il faut tenir compte du fait que l’HDR est un dossier très lourd par rapport aux sciences et ne pas être maximaliste.</w:t>
      </w:r>
    </w:p>
    <w:p w14:paraId="7C9A7D26" w14:textId="650D6532" w:rsidR="00646CF0" w:rsidRDefault="00646CF0" w:rsidP="00646CF0">
      <w:pPr>
        <w:spacing w:line="360" w:lineRule="auto"/>
        <w:jc w:val="both"/>
      </w:pPr>
      <w:r w:rsidRPr="00646CF0">
        <w:rPr>
          <w:b/>
        </w:rPr>
        <w:t>-Question </w:t>
      </w:r>
      <w:r>
        <w:t>: la diffusion de la culture scientifique est-elle prise en compte dans le dossier d’HDR ?</w:t>
      </w:r>
    </w:p>
    <w:p w14:paraId="4DC01F47" w14:textId="4DF00EB2" w:rsidR="00646CF0" w:rsidRDefault="00646CF0" w:rsidP="00646CF0">
      <w:pPr>
        <w:spacing w:line="360" w:lineRule="auto"/>
        <w:jc w:val="both"/>
      </w:pPr>
      <w:r w:rsidRPr="00646CF0">
        <w:rPr>
          <w:b/>
        </w:rPr>
        <w:t>-Réponse </w:t>
      </w:r>
      <w:r>
        <w:t>: l’innovation, la diffusion à l’attention du monde socio-économique doivent être prise</w:t>
      </w:r>
      <w:r w:rsidR="00B30186">
        <w:t>s</w:t>
      </w:r>
      <w:r w:rsidR="007C4F96">
        <w:t xml:space="preserve"> </w:t>
      </w:r>
      <w:r w:rsidR="007C4F96" w:rsidRPr="009A01FD">
        <w:t>en considération</w:t>
      </w:r>
      <w:r w:rsidRPr="009A01FD">
        <w:t>.</w:t>
      </w:r>
    </w:p>
    <w:p w14:paraId="5E7CC606" w14:textId="0D70B336" w:rsidR="00BB58CE" w:rsidRDefault="00D76866" w:rsidP="000E33AB">
      <w:pPr>
        <w:spacing w:line="360" w:lineRule="auto"/>
        <w:jc w:val="both"/>
      </w:pPr>
      <w:r w:rsidRPr="00646CF0">
        <w:rPr>
          <w:b/>
        </w:rPr>
        <w:t>-Q</w:t>
      </w:r>
      <w:r w:rsidR="00D33EB2" w:rsidRPr="00646CF0">
        <w:rPr>
          <w:b/>
        </w:rPr>
        <w:t>uestion </w:t>
      </w:r>
      <w:r w:rsidR="00D33EB2">
        <w:t xml:space="preserve">: </w:t>
      </w:r>
      <w:r>
        <w:t>dans les</w:t>
      </w:r>
      <w:r w:rsidR="00D33EB2">
        <w:t xml:space="preserve"> textes s’opposant à la qualifica</w:t>
      </w:r>
      <w:r>
        <w:t>tion, est-il prévu de repenser les processus de recrutement ?</w:t>
      </w:r>
      <w:r w:rsidR="00BB58CE">
        <w:t xml:space="preserve"> A l’étranger, le recrutement prend souvent plusieurs jours, les candidats font des cours, développent leur recherche.</w:t>
      </w:r>
      <w:r w:rsidR="00D33EB2">
        <w:t xml:space="preserve"> </w:t>
      </w:r>
    </w:p>
    <w:p w14:paraId="73C5CF36" w14:textId="55610007" w:rsidR="00646CF0" w:rsidRDefault="00D33EB2" w:rsidP="000E33AB">
      <w:pPr>
        <w:spacing w:line="360" w:lineRule="auto"/>
        <w:jc w:val="both"/>
      </w:pPr>
      <w:r w:rsidRPr="00646CF0">
        <w:rPr>
          <w:b/>
        </w:rPr>
        <w:t>-</w:t>
      </w:r>
      <w:r w:rsidR="00BB58CE" w:rsidRPr="00646CF0">
        <w:rPr>
          <w:b/>
        </w:rPr>
        <w:t>R</w:t>
      </w:r>
      <w:r w:rsidRPr="00646CF0">
        <w:rPr>
          <w:b/>
        </w:rPr>
        <w:t>éponse</w:t>
      </w:r>
      <w:r w:rsidR="00BB58CE" w:rsidRPr="00646CF0">
        <w:rPr>
          <w:b/>
        </w:rPr>
        <w:t> </w:t>
      </w:r>
      <w:r w:rsidR="00BB58CE">
        <w:t>: la CPU a publié un d</w:t>
      </w:r>
      <w:r w:rsidR="007C4F96">
        <w:t>ocument</w:t>
      </w:r>
      <w:r w:rsidR="00C3358C">
        <w:t xml:space="preserve"> </w:t>
      </w:r>
      <w:r>
        <w:t>disant que si la qualification est supprimée</w:t>
      </w:r>
      <w:r w:rsidR="007C4F96">
        <w:t xml:space="preserve">, </w:t>
      </w:r>
      <w:r w:rsidR="007C4F96" w:rsidRPr="009A01FD">
        <w:t xml:space="preserve">les établissements </w:t>
      </w:r>
      <w:r w:rsidR="009F4591" w:rsidRPr="009A01FD">
        <w:t>s’engageraient à</w:t>
      </w:r>
      <w:r w:rsidR="007C4F96" w:rsidRPr="009A01FD">
        <w:t xml:space="preserve"> </w:t>
      </w:r>
      <w:r w:rsidR="009F4591" w:rsidRPr="009A01FD">
        <w:t>effectuer un</w:t>
      </w:r>
      <w:r w:rsidR="00BB58CE" w:rsidRPr="009A01FD">
        <w:t xml:space="preserve"> recr</w:t>
      </w:r>
      <w:r w:rsidRPr="009A01FD">
        <w:t>utement sur place</w:t>
      </w:r>
      <w:r w:rsidR="007C4F96" w:rsidRPr="009A01FD">
        <w:t xml:space="preserve"> de manière plus </w:t>
      </w:r>
      <w:r w:rsidR="009F4591" w:rsidRPr="009A01FD">
        <w:t>approfondie,</w:t>
      </w:r>
      <w:r w:rsidRPr="009A01FD">
        <w:t xml:space="preserve"> à demander aux candidats de faire</w:t>
      </w:r>
      <w:r w:rsidR="00BB58CE" w:rsidRPr="009A01FD">
        <w:t xml:space="preserve"> des cours, </w:t>
      </w:r>
      <w:r w:rsidRPr="009A01FD">
        <w:t>d’</w:t>
      </w:r>
      <w:r w:rsidR="00BB58CE" w:rsidRPr="009A01FD">
        <w:t>être en situa</w:t>
      </w:r>
      <w:r w:rsidR="007C4F96" w:rsidRPr="009A01FD">
        <w:t>tion</w:t>
      </w:r>
      <w:r w:rsidR="00BB58CE" w:rsidRPr="009A01FD">
        <w:t xml:space="preserve">. </w:t>
      </w:r>
      <w:r w:rsidR="001C68B5" w:rsidRPr="009A01FD">
        <w:t>Or cela</w:t>
      </w:r>
      <w:r w:rsidR="00BB58CE" w:rsidRPr="009A01FD">
        <w:t xml:space="preserve"> </w:t>
      </w:r>
      <w:r w:rsidR="001C68B5" w:rsidRPr="009A01FD">
        <w:t>entraînerait</w:t>
      </w:r>
      <w:r w:rsidR="007C4F96" w:rsidRPr="009A01FD">
        <w:t xml:space="preserve"> </w:t>
      </w:r>
      <w:r w:rsidR="001C68B5" w:rsidRPr="009A01FD">
        <w:t xml:space="preserve">bien sûr </w:t>
      </w:r>
      <w:r w:rsidR="007C4F96" w:rsidRPr="009A01FD">
        <w:t xml:space="preserve">des coûts que </w:t>
      </w:r>
      <w:r w:rsidR="009F4591" w:rsidRPr="009A01FD">
        <w:t>certains établissements</w:t>
      </w:r>
      <w:r w:rsidR="007C4F96" w:rsidRPr="009A01FD">
        <w:t xml:space="preserve"> auront du mal à assumer</w:t>
      </w:r>
      <w:r w:rsidR="006C6EAF">
        <w:t>.</w:t>
      </w:r>
      <w:r w:rsidR="007C4F96">
        <w:t xml:space="preserve"> </w:t>
      </w:r>
    </w:p>
    <w:p w14:paraId="06AB2E33" w14:textId="5342C515" w:rsidR="00BB58CE" w:rsidRDefault="00646CF0" w:rsidP="000E33AB">
      <w:pPr>
        <w:spacing w:line="360" w:lineRule="auto"/>
        <w:jc w:val="both"/>
      </w:pPr>
      <w:r w:rsidRPr="00646CF0">
        <w:rPr>
          <w:b/>
        </w:rPr>
        <w:t>-</w:t>
      </w:r>
      <w:r w:rsidR="00BB58CE" w:rsidRPr="00646CF0">
        <w:rPr>
          <w:b/>
        </w:rPr>
        <w:t>Q</w:t>
      </w:r>
      <w:r w:rsidRPr="00646CF0">
        <w:rPr>
          <w:b/>
        </w:rPr>
        <w:t>uestion</w:t>
      </w:r>
      <w:r w:rsidR="00BB58CE" w:rsidRPr="00646CF0">
        <w:rPr>
          <w:b/>
        </w:rPr>
        <w:t> </w:t>
      </w:r>
      <w:r w:rsidR="00BB58CE">
        <w:t>:</w:t>
      </w:r>
      <w:r>
        <w:t xml:space="preserve"> </w:t>
      </w:r>
      <w:r w:rsidR="00BB58CE">
        <w:t xml:space="preserve">depuis la loi d’autonomie, nous </w:t>
      </w:r>
      <w:r>
        <w:t xml:space="preserve">ne </w:t>
      </w:r>
      <w:r w:rsidR="00BB58CE">
        <w:t xml:space="preserve">sommes </w:t>
      </w:r>
      <w:r w:rsidR="00BB58CE" w:rsidRPr="00646CF0">
        <w:rPr>
          <w:i/>
        </w:rPr>
        <w:t>de facto</w:t>
      </w:r>
      <w:r w:rsidR="00BB58CE">
        <w:t xml:space="preserve"> plus</w:t>
      </w:r>
      <w:r w:rsidR="006C6EAF">
        <w:t xml:space="preserve"> vraiment des fonctionnaires d’E</w:t>
      </w:r>
      <w:r w:rsidR="00BB58CE">
        <w:t>tat mais dépendons de notre université.</w:t>
      </w:r>
    </w:p>
    <w:p w14:paraId="70181D70" w14:textId="438F8FA5" w:rsidR="00BB58CE" w:rsidRDefault="00646CF0" w:rsidP="000E33AB">
      <w:pPr>
        <w:spacing w:line="360" w:lineRule="auto"/>
        <w:jc w:val="both"/>
      </w:pPr>
      <w:r w:rsidRPr="00646CF0">
        <w:rPr>
          <w:b/>
        </w:rPr>
        <w:t>-</w:t>
      </w:r>
      <w:r w:rsidR="00BB58CE" w:rsidRPr="00646CF0">
        <w:rPr>
          <w:b/>
        </w:rPr>
        <w:t>R</w:t>
      </w:r>
      <w:r w:rsidRPr="00646CF0">
        <w:rPr>
          <w:b/>
        </w:rPr>
        <w:t>éponse</w:t>
      </w:r>
      <w:r w:rsidR="00BB58CE" w:rsidRPr="00646CF0">
        <w:rPr>
          <w:b/>
        </w:rPr>
        <w:t> </w:t>
      </w:r>
      <w:r w:rsidR="00BB58CE">
        <w:t>: nous sommes dans deux logiques</w:t>
      </w:r>
      <w:r w:rsidR="001717C1">
        <w:t xml:space="preserve"> qui entrent en </w:t>
      </w:r>
      <w:r w:rsidR="009F4591">
        <w:t>tension (</w:t>
      </w:r>
      <w:r w:rsidR="001717C1">
        <w:t>E</w:t>
      </w:r>
      <w:r w:rsidR="001C68B5">
        <w:t>tat-</w:t>
      </w:r>
      <w:r w:rsidR="001C68B5" w:rsidRPr="009A01FD">
        <w:t>établissement local</w:t>
      </w:r>
      <w:r w:rsidR="00B30186" w:rsidRPr="009A01FD">
        <w:t>), et l’arb</w:t>
      </w:r>
      <w:r w:rsidR="00BB58CE" w:rsidRPr="009A01FD">
        <w:t>it</w:t>
      </w:r>
      <w:r w:rsidRPr="009A01FD">
        <w:t>r</w:t>
      </w:r>
      <w:r w:rsidR="001717C1" w:rsidRPr="009A01FD">
        <w:t xml:space="preserve">age est </w:t>
      </w:r>
      <w:r w:rsidR="001C68B5" w:rsidRPr="009A01FD">
        <w:t xml:space="preserve">sans doute </w:t>
      </w:r>
      <w:r w:rsidR="001717C1" w:rsidRPr="009A01FD">
        <w:t>devant nous. L’existence du CNU est au cœur de ce débat</w:t>
      </w:r>
      <w:r w:rsidR="001C68B5" w:rsidRPr="009A01FD">
        <w:t>.</w:t>
      </w:r>
    </w:p>
    <w:p w14:paraId="682E3364" w14:textId="77777777" w:rsidR="00A20462" w:rsidRDefault="00A20462" w:rsidP="000E33AB">
      <w:pPr>
        <w:spacing w:line="360" w:lineRule="auto"/>
        <w:jc w:val="both"/>
      </w:pPr>
    </w:p>
    <w:p w14:paraId="4F767E23" w14:textId="77777777" w:rsidR="00646CF0" w:rsidRDefault="00646CF0" w:rsidP="00646CF0">
      <w:pPr>
        <w:spacing w:line="360" w:lineRule="auto"/>
        <w:jc w:val="both"/>
      </w:pPr>
      <w:r>
        <w:t>La Table Ronde termine sur la suggestion suivante :</w:t>
      </w:r>
      <w:r w:rsidRPr="00646CF0">
        <w:t xml:space="preserve"> </w:t>
      </w:r>
      <w:r w:rsidRPr="00D33EB2">
        <w:t xml:space="preserve">La Commission Recherche pourrait </w:t>
      </w:r>
      <w:r>
        <w:t xml:space="preserve">envisager de </w:t>
      </w:r>
      <w:r w:rsidRPr="00D33EB2">
        <w:t>faire une recension de ce qui est exigé dans les différentes universités pour le dépôt de l’HDR (sorte d’état des lieux).</w:t>
      </w:r>
    </w:p>
    <w:p w14:paraId="0FD1D365" w14:textId="77777777" w:rsidR="00646CF0" w:rsidRDefault="00646CF0" w:rsidP="000E33AB">
      <w:pPr>
        <w:spacing w:line="360" w:lineRule="auto"/>
        <w:jc w:val="both"/>
      </w:pPr>
    </w:p>
    <w:sectPr w:rsidR="00646CF0" w:rsidSect="00CB1BEF">
      <w:footerReference w:type="even" r:id="rId8"/>
      <w:footerReference w:type="default" r:id="rId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65568" w15:done="0"/>
  <w15:commentEx w15:paraId="60D74D19" w15:done="0"/>
  <w15:commentEx w15:paraId="3EB59B83" w15:done="0"/>
  <w15:commentEx w15:paraId="581BCBDA" w15:done="0"/>
  <w15:commentEx w15:paraId="3D684D2D" w15:done="0"/>
  <w15:commentEx w15:paraId="65658F29" w15:done="0"/>
  <w15:commentEx w15:paraId="0432139B" w15:done="0"/>
  <w15:commentEx w15:paraId="1026D084" w15:done="0"/>
  <w15:commentEx w15:paraId="3C1A1C10" w15:done="0"/>
  <w15:commentEx w15:paraId="50B36FEC" w15:done="0"/>
  <w15:commentEx w15:paraId="0ED98FF9" w15:done="0"/>
  <w15:commentEx w15:paraId="4B74F1C3" w15:done="0"/>
  <w15:commentEx w15:paraId="606BA96B" w15:done="0"/>
  <w15:commentEx w15:paraId="1D4F5713" w15:done="0"/>
  <w15:commentEx w15:paraId="07CC2848" w15:done="0"/>
  <w15:commentEx w15:paraId="3E32045C" w15:done="0"/>
  <w15:commentEx w15:paraId="40233528" w15:done="0"/>
  <w15:commentEx w15:paraId="37EBA7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1B526" w14:textId="77777777" w:rsidR="00D615BD" w:rsidRDefault="00D615BD" w:rsidP="00F44351">
      <w:r>
        <w:separator/>
      </w:r>
    </w:p>
  </w:endnote>
  <w:endnote w:type="continuationSeparator" w:id="0">
    <w:p w14:paraId="6531CC65" w14:textId="77777777" w:rsidR="00D615BD" w:rsidRDefault="00D615BD" w:rsidP="00F4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772D" w14:textId="77777777" w:rsidR="00D615BD" w:rsidRDefault="00D615BD" w:rsidP="00C7588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EB3E35F" w14:textId="77777777" w:rsidR="00D615BD" w:rsidRDefault="00D615B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25F3" w14:textId="77777777" w:rsidR="00D615BD" w:rsidRDefault="00D615BD" w:rsidP="00C7588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12C6B">
      <w:rPr>
        <w:rStyle w:val="Numrodepage"/>
        <w:noProof/>
      </w:rPr>
      <w:t>1</w:t>
    </w:r>
    <w:r>
      <w:rPr>
        <w:rStyle w:val="Numrodepage"/>
      </w:rPr>
      <w:fldChar w:fldCharType="end"/>
    </w:r>
  </w:p>
  <w:p w14:paraId="45A18756" w14:textId="77777777" w:rsidR="00D615BD" w:rsidRDefault="00D615B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F47B" w14:textId="77777777" w:rsidR="00D615BD" w:rsidRDefault="00D615BD" w:rsidP="00F44351">
      <w:r>
        <w:separator/>
      </w:r>
    </w:p>
  </w:footnote>
  <w:footnote w:type="continuationSeparator" w:id="0">
    <w:p w14:paraId="4A97C596" w14:textId="77777777" w:rsidR="00D615BD" w:rsidRDefault="00D615BD" w:rsidP="00F44351">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frid ROTGE">
    <w15:presenceInfo w15:providerId="Windows Live" w15:userId="8802c7d63f1aed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89"/>
    <w:rsid w:val="00044E81"/>
    <w:rsid w:val="000C38B7"/>
    <w:rsid w:val="000E33AB"/>
    <w:rsid w:val="00153E45"/>
    <w:rsid w:val="001717C1"/>
    <w:rsid w:val="001B5334"/>
    <w:rsid w:val="001C68B5"/>
    <w:rsid w:val="0023230E"/>
    <w:rsid w:val="0027041C"/>
    <w:rsid w:val="00287634"/>
    <w:rsid w:val="0035601B"/>
    <w:rsid w:val="003810FB"/>
    <w:rsid w:val="00393879"/>
    <w:rsid w:val="003F7586"/>
    <w:rsid w:val="00405F79"/>
    <w:rsid w:val="00437189"/>
    <w:rsid w:val="004516E8"/>
    <w:rsid w:val="00545ADD"/>
    <w:rsid w:val="00554558"/>
    <w:rsid w:val="005763F4"/>
    <w:rsid w:val="005E5E4F"/>
    <w:rsid w:val="00612CB6"/>
    <w:rsid w:val="00646CF0"/>
    <w:rsid w:val="006722DC"/>
    <w:rsid w:val="006A4B8B"/>
    <w:rsid w:val="006C6EAF"/>
    <w:rsid w:val="007059C7"/>
    <w:rsid w:val="007C4F96"/>
    <w:rsid w:val="00827404"/>
    <w:rsid w:val="00852ECD"/>
    <w:rsid w:val="00881134"/>
    <w:rsid w:val="00934116"/>
    <w:rsid w:val="009A01FD"/>
    <w:rsid w:val="009B6583"/>
    <w:rsid w:val="009C7A3C"/>
    <w:rsid w:val="009F4591"/>
    <w:rsid w:val="00A170A8"/>
    <w:rsid w:val="00A20462"/>
    <w:rsid w:val="00A51D43"/>
    <w:rsid w:val="00A6407A"/>
    <w:rsid w:val="00B1792E"/>
    <w:rsid w:val="00B30186"/>
    <w:rsid w:val="00BB58CE"/>
    <w:rsid w:val="00C3358C"/>
    <w:rsid w:val="00C75885"/>
    <w:rsid w:val="00CB1BEF"/>
    <w:rsid w:val="00CC27B6"/>
    <w:rsid w:val="00D12C6B"/>
    <w:rsid w:val="00D160B6"/>
    <w:rsid w:val="00D20B95"/>
    <w:rsid w:val="00D33EB2"/>
    <w:rsid w:val="00D615BD"/>
    <w:rsid w:val="00D76866"/>
    <w:rsid w:val="00D9636F"/>
    <w:rsid w:val="00DD5607"/>
    <w:rsid w:val="00DE557F"/>
    <w:rsid w:val="00F0265F"/>
    <w:rsid w:val="00F44351"/>
    <w:rsid w:val="00F81F65"/>
    <w:rsid w:val="00FA7330"/>
    <w:rsid w:val="00FF659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70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ADD"/>
    <w:rPr>
      <w:color w:val="0000FF" w:themeColor="hyperlink"/>
      <w:u w:val="single"/>
    </w:rPr>
  </w:style>
  <w:style w:type="paragraph" w:styleId="Pieddepage">
    <w:name w:val="footer"/>
    <w:basedOn w:val="Normal"/>
    <w:link w:val="PieddepageCar"/>
    <w:uiPriority w:val="99"/>
    <w:unhideWhenUsed/>
    <w:rsid w:val="00F44351"/>
    <w:pPr>
      <w:tabs>
        <w:tab w:val="center" w:pos="4536"/>
        <w:tab w:val="right" w:pos="9072"/>
      </w:tabs>
    </w:pPr>
  </w:style>
  <w:style w:type="character" w:customStyle="1" w:styleId="PieddepageCar">
    <w:name w:val="Pied de page Car"/>
    <w:basedOn w:val="Policepardfaut"/>
    <w:link w:val="Pieddepage"/>
    <w:uiPriority w:val="99"/>
    <w:rsid w:val="00F44351"/>
  </w:style>
  <w:style w:type="character" w:styleId="Numrodepage">
    <w:name w:val="page number"/>
    <w:basedOn w:val="Policepardfaut"/>
    <w:uiPriority w:val="99"/>
    <w:semiHidden/>
    <w:unhideWhenUsed/>
    <w:rsid w:val="00F44351"/>
  </w:style>
  <w:style w:type="character" w:styleId="Marquedannotation">
    <w:name w:val="annotation reference"/>
    <w:basedOn w:val="Policepardfaut"/>
    <w:uiPriority w:val="99"/>
    <w:semiHidden/>
    <w:unhideWhenUsed/>
    <w:rsid w:val="005763F4"/>
    <w:rPr>
      <w:sz w:val="18"/>
      <w:szCs w:val="18"/>
    </w:rPr>
  </w:style>
  <w:style w:type="paragraph" w:styleId="Commentaire">
    <w:name w:val="annotation text"/>
    <w:basedOn w:val="Normal"/>
    <w:link w:val="CommentaireCar"/>
    <w:uiPriority w:val="99"/>
    <w:semiHidden/>
    <w:unhideWhenUsed/>
    <w:rsid w:val="005763F4"/>
  </w:style>
  <w:style w:type="character" w:customStyle="1" w:styleId="CommentaireCar">
    <w:name w:val="Commentaire Car"/>
    <w:basedOn w:val="Policepardfaut"/>
    <w:link w:val="Commentaire"/>
    <w:uiPriority w:val="99"/>
    <w:semiHidden/>
    <w:rsid w:val="005763F4"/>
  </w:style>
  <w:style w:type="paragraph" w:styleId="Objetducommentaire">
    <w:name w:val="annotation subject"/>
    <w:basedOn w:val="Commentaire"/>
    <w:next w:val="Commentaire"/>
    <w:link w:val="ObjetducommentaireCar"/>
    <w:uiPriority w:val="99"/>
    <w:semiHidden/>
    <w:unhideWhenUsed/>
    <w:rsid w:val="005763F4"/>
    <w:rPr>
      <w:b/>
      <w:bCs/>
      <w:sz w:val="20"/>
      <w:szCs w:val="20"/>
    </w:rPr>
  </w:style>
  <w:style w:type="character" w:customStyle="1" w:styleId="ObjetducommentaireCar">
    <w:name w:val="Objet du commentaire Car"/>
    <w:basedOn w:val="CommentaireCar"/>
    <w:link w:val="Objetducommentaire"/>
    <w:uiPriority w:val="99"/>
    <w:semiHidden/>
    <w:rsid w:val="005763F4"/>
    <w:rPr>
      <w:b/>
      <w:bCs/>
      <w:sz w:val="20"/>
      <w:szCs w:val="20"/>
    </w:rPr>
  </w:style>
  <w:style w:type="paragraph" w:styleId="Textedebulles">
    <w:name w:val="Balloon Text"/>
    <w:basedOn w:val="Normal"/>
    <w:link w:val="TextedebullesCar"/>
    <w:uiPriority w:val="99"/>
    <w:semiHidden/>
    <w:unhideWhenUsed/>
    <w:rsid w:val="005763F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763F4"/>
    <w:rPr>
      <w:rFonts w:ascii="Times New Roman" w:hAnsi="Times New Roman" w:cs="Times New Roman"/>
      <w:sz w:val="18"/>
      <w:szCs w:val="18"/>
    </w:rPr>
  </w:style>
  <w:style w:type="character" w:styleId="Lienhypertextesuivi">
    <w:name w:val="FollowedHyperlink"/>
    <w:basedOn w:val="Policepardfaut"/>
    <w:uiPriority w:val="99"/>
    <w:semiHidden/>
    <w:unhideWhenUsed/>
    <w:rsid w:val="005763F4"/>
    <w:rPr>
      <w:color w:val="800080" w:themeColor="followedHyperlink"/>
      <w:u w:val="single"/>
    </w:rPr>
  </w:style>
  <w:style w:type="paragraph" w:styleId="NormalWeb">
    <w:name w:val="Normal (Web)"/>
    <w:basedOn w:val="Normal"/>
    <w:uiPriority w:val="99"/>
    <w:semiHidden/>
    <w:unhideWhenUsed/>
    <w:rsid w:val="00DD56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5ADD"/>
    <w:rPr>
      <w:color w:val="0000FF" w:themeColor="hyperlink"/>
      <w:u w:val="single"/>
    </w:rPr>
  </w:style>
  <w:style w:type="paragraph" w:styleId="Pieddepage">
    <w:name w:val="footer"/>
    <w:basedOn w:val="Normal"/>
    <w:link w:val="PieddepageCar"/>
    <w:uiPriority w:val="99"/>
    <w:unhideWhenUsed/>
    <w:rsid w:val="00F44351"/>
    <w:pPr>
      <w:tabs>
        <w:tab w:val="center" w:pos="4536"/>
        <w:tab w:val="right" w:pos="9072"/>
      </w:tabs>
    </w:pPr>
  </w:style>
  <w:style w:type="character" w:customStyle="1" w:styleId="PieddepageCar">
    <w:name w:val="Pied de page Car"/>
    <w:basedOn w:val="Policepardfaut"/>
    <w:link w:val="Pieddepage"/>
    <w:uiPriority w:val="99"/>
    <w:rsid w:val="00F44351"/>
  </w:style>
  <w:style w:type="character" w:styleId="Numrodepage">
    <w:name w:val="page number"/>
    <w:basedOn w:val="Policepardfaut"/>
    <w:uiPriority w:val="99"/>
    <w:semiHidden/>
    <w:unhideWhenUsed/>
    <w:rsid w:val="00F44351"/>
  </w:style>
  <w:style w:type="character" w:styleId="Marquedannotation">
    <w:name w:val="annotation reference"/>
    <w:basedOn w:val="Policepardfaut"/>
    <w:uiPriority w:val="99"/>
    <w:semiHidden/>
    <w:unhideWhenUsed/>
    <w:rsid w:val="005763F4"/>
    <w:rPr>
      <w:sz w:val="18"/>
      <w:szCs w:val="18"/>
    </w:rPr>
  </w:style>
  <w:style w:type="paragraph" w:styleId="Commentaire">
    <w:name w:val="annotation text"/>
    <w:basedOn w:val="Normal"/>
    <w:link w:val="CommentaireCar"/>
    <w:uiPriority w:val="99"/>
    <w:semiHidden/>
    <w:unhideWhenUsed/>
    <w:rsid w:val="005763F4"/>
  </w:style>
  <w:style w:type="character" w:customStyle="1" w:styleId="CommentaireCar">
    <w:name w:val="Commentaire Car"/>
    <w:basedOn w:val="Policepardfaut"/>
    <w:link w:val="Commentaire"/>
    <w:uiPriority w:val="99"/>
    <w:semiHidden/>
    <w:rsid w:val="005763F4"/>
  </w:style>
  <w:style w:type="paragraph" w:styleId="Objetducommentaire">
    <w:name w:val="annotation subject"/>
    <w:basedOn w:val="Commentaire"/>
    <w:next w:val="Commentaire"/>
    <w:link w:val="ObjetducommentaireCar"/>
    <w:uiPriority w:val="99"/>
    <w:semiHidden/>
    <w:unhideWhenUsed/>
    <w:rsid w:val="005763F4"/>
    <w:rPr>
      <w:b/>
      <w:bCs/>
      <w:sz w:val="20"/>
      <w:szCs w:val="20"/>
    </w:rPr>
  </w:style>
  <w:style w:type="character" w:customStyle="1" w:styleId="ObjetducommentaireCar">
    <w:name w:val="Objet du commentaire Car"/>
    <w:basedOn w:val="CommentaireCar"/>
    <w:link w:val="Objetducommentaire"/>
    <w:uiPriority w:val="99"/>
    <w:semiHidden/>
    <w:rsid w:val="005763F4"/>
    <w:rPr>
      <w:b/>
      <w:bCs/>
      <w:sz w:val="20"/>
      <w:szCs w:val="20"/>
    </w:rPr>
  </w:style>
  <w:style w:type="paragraph" w:styleId="Textedebulles">
    <w:name w:val="Balloon Text"/>
    <w:basedOn w:val="Normal"/>
    <w:link w:val="TextedebullesCar"/>
    <w:uiPriority w:val="99"/>
    <w:semiHidden/>
    <w:unhideWhenUsed/>
    <w:rsid w:val="005763F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763F4"/>
    <w:rPr>
      <w:rFonts w:ascii="Times New Roman" w:hAnsi="Times New Roman" w:cs="Times New Roman"/>
      <w:sz w:val="18"/>
      <w:szCs w:val="18"/>
    </w:rPr>
  </w:style>
  <w:style w:type="character" w:styleId="Lienhypertextesuivi">
    <w:name w:val="FollowedHyperlink"/>
    <w:basedOn w:val="Policepardfaut"/>
    <w:uiPriority w:val="99"/>
    <w:semiHidden/>
    <w:unhideWhenUsed/>
    <w:rsid w:val="005763F4"/>
    <w:rPr>
      <w:color w:val="800080" w:themeColor="followedHyperlink"/>
      <w:u w:val="single"/>
    </w:rPr>
  </w:style>
  <w:style w:type="paragraph" w:styleId="NormalWeb">
    <w:name w:val="Normal (Web)"/>
    <w:basedOn w:val="Normal"/>
    <w:uiPriority w:val="99"/>
    <w:semiHidden/>
    <w:unhideWhenUsed/>
    <w:rsid w:val="00DD56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6614">
      <w:bodyDiv w:val="1"/>
      <w:marLeft w:val="0"/>
      <w:marRight w:val="0"/>
      <w:marTop w:val="0"/>
      <w:marBottom w:val="0"/>
      <w:divBdr>
        <w:top w:val="none" w:sz="0" w:space="0" w:color="auto"/>
        <w:left w:val="none" w:sz="0" w:space="0" w:color="auto"/>
        <w:bottom w:val="none" w:sz="0" w:space="0" w:color="auto"/>
        <w:right w:val="none" w:sz="0" w:space="0" w:color="auto"/>
      </w:divBdr>
      <w:divsChild>
        <w:div w:id="761070805">
          <w:marLeft w:val="0"/>
          <w:marRight w:val="0"/>
          <w:marTop w:val="0"/>
          <w:marBottom w:val="0"/>
          <w:divBdr>
            <w:top w:val="none" w:sz="0" w:space="0" w:color="auto"/>
            <w:left w:val="none" w:sz="0" w:space="0" w:color="auto"/>
            <w:bottom w:val="none" w:sz="0" w:space="0" w:color="auto"/>
            <w:right w:val="none" w:sz="0" w:space="0" w:color="auto"/>
          </w:divBdr>
          <w:divsChild>
            <w:div w:id="1387024661">
              <w:marLeft w:val="0"/>
              <w:marRight w:val="0"/>
              <w:marTop w:val="0"/>
              <w:marBottom w:val="0"/>
              <w:divBdr>
                <w:top w:val="none" w:sz="0" w:space="0" w:color="auto"/>
                <w:left w:val="none" w:sz="0" w:space="0" w:color="auto"/>
                <w:bottom w:val="none" w:sz="0" w:space="0" w:color="auto"/>
                <w:right w:val="none" w:sz="0" w:space="0" w:color="auto"/>
              </w:divBdr>
              <w:divsChild>
                <w:div w:id="1308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gifrance.gouv.fr/affichTexte.do?cidTexte=LEGITEXT000028933129&amp;dateTexte=20170102"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7884</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yvernault</dc:creator>
  <cp:keywords/>
  <dc:description/>
  <cp:lastModifiedBy>yvernault</cp:lastModifiedBy>
  <cp:revision>2</cp:revision>
  <dcterms:created xsi:type="dcterms:W3CDTF">2017-06-21T20:33:00Z</dcterms:created>
  <dcterms:modified xsi:type="dcterms:W3CDTF">2017-06-21T20:33:00Z</dcterms:modified>
</cp:coreProperties>
</file>